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jc w:val="right"/>
        <w:rPr>
          <w:rFonts w:hint="eastAsia" w:ascii="宋体" w:hAnsi="宋体"/>
          <w:sz w:val="36"/>
        </w:rPr>
      </w:pPr>
      <w:r>
        <w:rPr>
          <w:rFonts w:hint="eastAsia" w:ascii="宋体" w:hAnsi="宋体"/>
          <w:sz w:val="36"/>
        </w:rPr>
      </w:r>
      <w:r/>
    </w:p>
    <w:p>
      <w:pPr>
        <w:pStyle w:val="1030"/>
        <w:jc w:val="right"/>
        <w:rPr>
          <w:rFonts w:hint="eastAsia" w:ascii="宋体" w:hAnsi="宋体" w:eastAsia="宋体"/>
          <w:b/>
          <w:bCs/>
          <w:sz w:val="30"/>
          <w:szCs w:val="30"/>
          <w:lang w:eastAsia="zh-CN"/>
        </w:rPr>
      </w:pPr>
      <w:r>
        <w:rPr>
          <w:rFonts w:hint="eastAsia" w:ascii="宋体" w:hAnsi="宋体"/>
          <w:b/>
          <w:bCs/>
          <w:sz w:val="30"/>
          <w:szCs w:val="30"/>
          <w:lang w:eastAsia="zh-CN"/>
        </w:rPr>
        <w:t xml:space="preserve">JSZC-321002-SDTZ-G2025-0017</w:t>
      </w:r>
      <w:r>
        <w:rPr>
          <w:rFonts w:hint="eastAsia" w:ascii="宋体" w:hAnsi="宋体" w:eastAsia="宋体"/>
          <w:b/>
          <w:bCs/>
          <w:sz w:val="30"/>
          <w:szCs w:val="30"/>
          <w:lang w:eastAsia="zh-CN"/>
        </w:rPr>
      </w:r>
      <w:r/>
    </w:p>
    <w:p>
      <w:pPr>
        <w:pStyle w:val="1030"/>
        <w:jc w:val="right"/>
        <w:rPr>
          <w:rFonts w:ascii="宋体" w:hAnsi="宋体"/>
          <w:sz w:val="36"/>
        </w:rPr>
      </w:pPr>
      <w:r>
        <w:rPr>
          <w:rFonts w:ascii="宋体" w:hAnsi="宋体"/>
          <w:sz w:val="36"/>
        </w:rPr>
      </w:r>
      <w:r/>
    </w:p>
    <w:p>
      <w:pPr>
        <w:pStyle w:val="1030"/>
        <w:jc w:val="center"/>
        <w:rPr>
          <w:rFonts w:hint="eastAsia" w:ascii="宋体" w:hAnsi="宋体"/>
          <w:b/>
          <w:bCs/>
          <w:sz w:val="36"/>
        </w:rPr>
      </w:pPr>
      <w:r>
        <w:rPr>
          <w:rFonts w:hint="eastAsia" w:ascii="宋体" w:hAnsi="宋体"/>
          <w:b/>
          <w:bCs/>
          <w:sz w:val="36"/>
        </w:rPr>
        <w:t xml:space="preserve">扬州市广陵区行政审批中心集中办公区能源费用托管服务公开招标文件</w:t>
      </w:r>
      <w:r>
        <w:rPr>
          <w:rFonts w:hint="eastAsia" w:ascii="宋体" w:hAnsi="宋体"/>
          <w:b/>
          <w:bCs/>
          <w:sz w:val="36"/>
        </w:rPr>
        <w:tab/>
      </w:r>
      <w:r>
        <w:rPr>
          <w:rFonts w:hint="eastAsia" w:ascii="宋体" w:hAnsi="宋体"/>
          <w:b/>
          <w:bCs/>
          <w:sz w:val="36"/>
        </w:rPr>
      </w:r>
      <w:r/>
    </w:p>
    <w:p>
      <w:pPr>
        <w:pStyle w:val="1095"/>
        <w:rPr>
          <w:rFonts w:hint="eastAsia"/>
        </w:rPr>
      </w:pPr>
      <w:r>
        <w:rPr>
          <w:rFonts w:hint="eastAsia"/>
        </w:rPr>
      </w:r>
      <w:r/>
    </w:p>
    <w:p>
      <w:pPr>
        <w:pStyle w:val="1095"/>
        <w:rPr>
          <w:rFonts w:hint="eastAsia"/>
        </w:rPr>
      </w:pPr>
      <w:r>
        <w:rPr>
          <w:rFonts w:hint="eastAsia"/>
        </w:rPr>
      </w:r>
      <w:r/>
    </w:p>
    <w:p>
      <w:pPr>
        <w:pStyle w:val="1030"/>
        <w:jc w:val="center"/>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596255" cy="36880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596255" cy="3688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0.6pt;height:290.4pt;mso-wrap-distance-left:0.0pt;mso-wrap-distance-top:0.0pt;mso-wrap-distance-right:0.0pt;mso-wrap-distance-bottom:0.0pt;" stroked="f">
                <v:path textboxrect="0,0,0,0"/>
                <v:imagedata r:id="rId16" o:title=""/>
              </v:shape>
            </w:pict>
          </mc:Fallback>
        </mc:AlternateContent>
      </w:r>
      <w:r>
        <w:rPr>
          <w:rFonts w:ascii="宋体" w:hAnsi="宋体"/>
          <w:sz w:val="36"/>
        </w:rPr>
      </w:r>
      <w:r/>
    </w:p>
    <w:p>
      <w:pPr>
        <w:pStyle w:val="1030"/>
        <w:jc w:val="center"/>
        <w:rPr>
          <w:rFonts w:hint="eastAsia" w:ascii="宋体" w:hAnsi="宋体"/>
          <w:sz w:val="36"/>
        </w:rPr>
      </w:pPr>
      <w:r>
        <w:rPr>
          <w:rFonts w:hint="eastAsia" w:ascii="宋体" w:hAnsi="宋体"/>
          <w:sz w:val="36"/>
        </w:rPr>
      </w:r>
      <w:r/>
    </w:p>
    <w:p>
      <w:pPr>
        <w:pStyle w:val="1030"/>
        <w:jc w:val="center"/>
        <w:rPr>
          <w:rFonts w:ascii="宋体" w:hAnsi="宋体"/>
          <w:sz w:val="36"/>
        </w:rPr>
      </w:pPr>
      <w:r>
        <w:rPr>
          <w:rFonts w:ascii="宋体" w:hAnsi="宋体"/>
          <w:sz w:val="36"/>
        </w:rPr>
      </w:r>
      <w:r/>
    </w:p>
    <w:p>
      <w:pPr>
        <w:pStyle w:val="1030"/>
        <w:ind w:firstLine="1157"/>
        <w:rPr>
          <w:rFonts w:hint="eastAsia" w:ascii="黑体" w:hAnsi="黑体" w:eastAsia="黑体"/>
          <w:sz w:val="28"/>
          <w:szCs w:val="28"/>
          <w:u w:val="single"/>
        </w:rPr>
      </w:pPr>
      <w:r>
        <w:rPr>
          <w:rFonts w:hint="eastAsia" w:ascii="宋体" w:hAnsi="宋体"/>
          <w:b/>
          <w:bCs/>
          <w:sz w:val="32"/>
          <w:szCs w:val="32"/>
        </w:rPr>
        <w:t xml:space="preserve">采</w:t>
      </w:r>
      <w:r>
        <w:rPr>
          <w:rFonts w:ascii="宋体" w:hAnsi="宋体"/>
          <w:b/>
          <w:bCs/>
          <w:sz w:val="32"/>
          <w:szCs w:val="32"/>
        </w:rPr>
        <w:t xml:space="preserve">  </w:t>
      </w:r>
      <w:r>
        <w:rPr>
          <w:rFonts w:hint="eastAsia" w:ascii="宋体" w:hAnsi="宋体"/>
          <w:b/>
          <w:bCs/>
          <w:sz w:val="32"/>
          <w:szCs w:val="32"/>
        </w:rPr>
        <w:t xml:space="preserve"> 购</w:t>
      </w:r>
      <w:r>
        <w:rPr>
          <w:rFonts w:ascii="宋体" w:hAnsi="宋体"/>
          <w:b/>
          <w:bCs/>
          <w:sz w:val="32"/>
          <w:szCs w:val="32"/>
        </w:rPr>
        <w:t xml:space="preserve"> </w:t>
      </w:r>
      <w:r>
        <w:rPr>
          <w:rFonts w:hint="eastAsia" w:ascii="宋体" w:hAnsi="宋体"/>
          <w:b/>
          <w:bCs/>
          <w:sz w:val="32"/>
          <w:szCs w:val="32"/>
        </w:rPr>
        <w:t xml:space="preserve"> 人：扬州市广陵区机关事务管理局</w:t>
      </w:r>
      <w:r>
        <w:rPr>
          <w:rFonts w:hint="eastAsia" w:ascii="黑体" w:hAnsi="黑体" w:eastAsia="黑体"/>
          <w:sz w:val="28"/>
          <w:szCs w:val="28"/>
          <w:u w:val="single"/>
        </w:rPr>
      </w:r>
      <w:r/>
    </w:p>
    <w:p>
      <w:pPr>
        <w:pStyle w:val="1030"/>
        <w:ind w:firstLine="1157"/>
        <w:rPr>
          <w:rFonts w:hint="eastAsia" w:ascii="宋体" w:hAnsi="宋体"/>
          <w:b/>
          <w:bCs/>
          <w:sz w:val="32"/>
          <w:szCs w:val="32"/>
        </w:rPr>
      </w:pPr>
      <w:r>
        <w:rPr>
          <w:rFonts w:hint="eastAsia" w:ascii="宋体" w:hAnsi="宋体"/>
          <w:b/>
          <w:bCs/>
          <w:sz w:val="32"/>
          <w:szCs w:val="32"/>
        </w:rPr>
        <w:t xml:space="preserve">采购代理机构：江苏时代投资咨询有限公司</w:t>
      </w:r>
      <w:r>
        <w:rPr>
          <w:rFonts w:hint="eastAsia" w:ascii="宋体" w:hAnsi="宋体"/>
          <w:b/>
          <w:bCs/>
          <w:sz w:val="32"/>
          <w:szCs w:val="32"/>
        </w:rPr>
      </w:r>
      <w:r/>
    </w:p>
    <w:p>
      <w:pPr>
        <w:pStyle w:val="1030"/>
        <w:ind w:firstLine="1157"/>
        <w:rPr>
          <w:rFonts w:hint="eastAsia" w:ascii="宋体" w:hAnsi="宋体"/>
          <w:b/>
          <w:bCs/>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sz w:val="32"/>
          <w:szCs w:val="32"/>
        </w:rPr>
        <w:t xml:space="preserve">发</w:t>
      </w:r>
      <w:r>
        <w:rPr>
          <w:rFonts w:ascii="宋体" w:hAnsi="宋体"/>
          <w:b/>
          <w:bCs/>
          <w:sz w:val="32"/>
          <w:szCs w:val="32"/>
        </w:rPr>
        <w:t xml:space="preserve"> </w:t>
      </w:r>
      <w:r>
        <w:rPr>
          <w:rFonts w:hint="eastAsia" w:ascii="宋体" w:hAnsi="宋体"/>
          <w:b/>
          <w:bCs/>
          <w:sz w:val="32"/>
          <w:szCs w:val="32"/>
        </w:rPr>
        <w:t xml:space="preserve">放</w:t>
      </w:r>
      <w:r>
        <w:rPr>
          <w:rFonts w:ascii="宋体" w:hAnsi="宋体"/>
          <w:b/>
          <w:bCs/>
          <w:sz w:val="32"/>
          <w:szCs w:val="32"/>
        </w:rPr>
        <w:t xml:space="preserve"> </w:t>
      </w:r>
      <w:r>
        <w:rPr>
          <w:rFonts w:hint="eastAsia" w:ascii="宋体" w:hAnsi="宋体"/>
          <w:b/>
          <w:bCs/>
          <w:sz w:val="32"/>
          <w:szCs w:val="32"/>
        </w:rPr>
        <w:t xml:space="preserve">日</w:t>
      </w:r>
      <w:r>
        <w:rPr>
          <w:rFonts w:ascii="宋体" w:hAnsi="宋体"/>
          <w:b/>
          <w:bCs/>
          <w:sz w:val="32"/>
          <w:szCs w:val="32"/>
        </w:rPr>
        <w:t xml:space="preserve"> </w:t>
      </w:r>
      <w:r>
        <w:rPr>
          <w:rFonts w:hint="eastAsia" w:ascii="宋体" w:hAnsi="宋体"/>
          <w:b/>
          <w:bCs/>
          <w:sz w:val="32"/>
          <w:szCs w:val="32"/>
        </w:rPr>
        <w:t xml:space="preserve">期：2025年1</w:t>
      </w:r>
      <w:r>
        <w:rPr>
          <w:rFonts w:hint="eastAsia" w:ascii="宋体" w:hAnsi="宋体"/>
          <w:b/>
          <w:bCs/>
          <w:sz w:val="32"/>
          <w:szCs w:val="32"/>
          <w:lang w:val="en-US" w:eastAsia="zh-CN"/>
        </w:rPr>
        <w:t xml:space="preserve">1</w:t>
      </w:r>
      <w:r>
        <w:rPr>
          <w:rFonts w:hint="eastAsia" w:ascii="宋体" w:hAnsi="宋体"/>
          <w:b/>
          <w:bCs/>
          <w:sz w:val="32"/>
          <w:szCs w:val="32"/>
        </w:rPr>
        <w:t xml:space="preserve">月</w:t>
      </w:r>
      <w:r>
        <w:rPr>
          <w:rFonts w:hint="eastAsia" w:ascii="宋体" w:hAnsi="宋体"/>
          <w:b/>
          <w:bCs/>
          <w:sz w:val="32"/>
          <w:szCs w:val="32"/>
          <w:lang w:val="en-US" w:eastAsia="zh-CN"/>
        </w:rPr>
        <w:t xml:space="preserve">4</w:t>
      </w:r>
      <w:r>
        <w:rPr>
          <w:rFonts w:hint="eastAsia" w:ascii="宋体" w:hAnsi="宋体"/>
          <w:b/>
          <w:bCs/>
          <w:sz w:val="32"/>
          <w:szCs w:val="32"/>
        </w:rPr>
        <w:t xml:space="preserve">日</w:t>
      </w:r>
      <w:r>
        <w:rPr>
          <w:rFonts w:hint="eastAsia" w:ascii="宋体" w:hAnsi="宋体"/>
          <w:b/>
          <w:bCs/>
          <w:sz w:val="32"/>
          <w:szCs w:val="32"/>
        </w:rPr>
      </w:r>
      <w:r/>
    </w:p>
    <w:p>
      <w:pPr>
        <w:pStyle w:val="1030"/>
        <w:jc w:val="center"/>
        <w:spacing w:line="360" w:lineRule="auto"/>
        <w:rPr>
          <w:rFonts w:hint="eastAsia" w:ascii="宋体" w:hAnsi="宋体"/>
          <w:sz w:val="32"/>
        </w:rPr>
      </w:pPr>
      <w:r>
        <w:rPr>
          <w:rFonts w:hint="eastAsia" w:ascii="宋体" w:hAnsi="宋体"/>
          <w:sz w:val="32"/>
        </w:rPr>
      </w:r>
      <w:r/>
    </w:p>
    <w:p>
      <w:pPr>
        <w:pStyle w:val="1030"/>
        <w:jc w:val="center"/>
        <w:spacing w:line="360" w:lineRule="auto"/>
        <w:rPr>
          <w:rFonts w:ascii="宋体" w:hAnsi="宋体"/>
          <w:sz w:val="32"/>
        </w:rPr>
      </w:pPr>
      <w:r>
        <w:rPr>
          <w:rFonts w:hint="eastAsia" w:ascii="宋体" w:hAnsi="宋体"/>
          <w:sz w:val="32"/>
        </w:rPr>
        <w:t xml:space="preserve">目</w:t>
      </w:r>
      <w:r>
        <w:rPr>
          <w:rFonts w:ascii="宋体" w:hAnsi="宋体"/>
          <w:sz w:val="32"/>
        </w:rPr>
        <w:t xml:space="preserve"> 录</w:t>
      </w:r>
      <w:r>
        <w:rPr>
          <w:rFonts w:ascii="宋体" w:hAnsi="宋体"/>
          <w:sz w:val="32"/>
        </w:rPr>
      </w:r>
      <w:r/>
    </w:p>
    <w:p>
      <w:pPr>
        <w:pStyle w:val="1080"/>
        <w:spacing w:line="360" w:lineRule="auto"/>
        <w:tabs>
          <w:tab w:val="right" w:pos="8296" w:leader="dot"/>
        </w:tabs>
      </w:pPr>
      <w:r>
        <w:rPr>
          <w:rFonts w:ascii="宋体" w:hAnsi="宋体"/>
          <w:sz w:val="28"/>
        </w:rPr>
        <w:fldChar w:fldCharType="begin"/>
      </w:r>
      <w:r>
        <w:rPr>
          <w:rFonts w:ascii="宋体" w:hAnsi="宋体"/>
          <w:sz w:val="28"/>
        </w:rPr>
        <w:instrText xml:space="preserve"> TOC \o "1-3" \f </w:instrText>
      </w:r>
      <w:r>
        <w:rPr>
          <w:rFonts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招标公告</w:t>
      </w:r>
      <w:r>
        <w:tab/>
      </w:r>
      <w:r>
        <w:fldChar w:fldCharType="begin"/>
      </w:r>
      <w:r>
        <w:instrText xml:space="preserve"> PAGEREF _Toc497133090 \h </w:instrText>
      </w:r>
      <w:r>
        <w:fldChar w:fldCharType="separate"/>
      </w:r>
      <w:r>
        <w:t xml:space="preserve">3</w:t>
      </w:r>
      <w:r>
        <w:fldChar w:fldCharType="end"/>
      </w:r>
      <w:r/>
    </w:p>
    <w:p>
      <w:pPr>
        <w:pStyle w:val="1080"/>
        <w:spacing w:line="360" w:lineRule="auto"/>
        <w:tabs>
          <w:tab w:val="right" w:pos="8296" w:leader="dot"/>
        </w:tabs>
        <w:rPr>
          <w:rFonts w:hint="eastAsia"/>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rPr>
          <w:rFonts w:hint="eastAsia"/>
        </w:rPr>
        <w:t xml:space="preserve">7</w:t>
      </w:r>
      <w:r>
        <w:rPr>
          <w:rFonts w:hint="eastAsia"/>
        </w:rPr>
      </w:r>
      <w:r/>
    </w:p>
    <w:p>
      <w:pPr>
        <w:pStyle w:val="1080"/>
        <w:spacing w:line="360" w:lineRule="auto"/>
        <w:tabs>
          <w:tab w:val="right" w:pos="8296" w:leader="dot"/>
        </w:tabs>
        <w:rPr>
          <w:rFonts w:hint="eastAsia"/>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rPr>
          <w:rFonts w:hint="eastAsia"/>
        </w:rPr>
        <w:t xml:space="preserve">19</w:t>
      </w:r>
      <w:r>
        <w:rPr>
          <w:rFonts w:hint="eastAsia"/>
        </w:rPr>
      </w:r>
      <w:r/>
    </w:p>
    <w:p>
      <w:pPr>
        <w:pStyle w:val="1080"/>
        <w:spacing w:line="360" w:lineRule="auto"/>
        <w:tabs>
          <w:tab w:val="right" w:pos="8296" w:leader="dot"/>
        </w:tabs>
      </w:pPr>
      <w:r>
        <w:rPr>
          <w:rFonts w:hint="eastAsia" w:ascii="宋体" w:hAnsi="宋体"/>
        </w:rPr>
        <w:t xml:space="preserve">第四章</w:t>
      </w:r>
      <w:r>
        <w:rPr>
          <w:rFonts w:ascii="宋体" w:hAnsi="宋体"/>
        </w:rPr>
        <w:t xml:space="preserve"> </w:t>
      </w:r>
      <w:r>
        <w:rPr>
          <w:rFonts w:hint="eastAsia" w:ascii="宋体" w:hAnsi="宋体"/>
        </w:rPr>
        <w:t xml:space="preserve">项目需求</w:t>
      </w:r>
      <w:r>
        <w:tab/>
      </w:r>
      <w:r>
        <w:rPr>
          <w:rFonts w:hint="eastAsia"/>
        </w:rPr>
        <w:t xml:space="preserve">25</w:t>
      </w:r>
      <w:r/>
    </w:p>
    <w:p>
      <w:pPr>
        <w:pStyle w:val="1080"/>
        <w:spacing w:line="360" w:lineRule="auto"/>
        <w:tabs>
          <w:tab w:val="right" w:pos="8296" w:leader="dot"/>
        </w:tabs>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rPr>
          <w:rFonts w:hint="eastAsia"/>
        </w:rPr>
        <w:t xml:space="preserve">26</w:t>
      </w:r>
      <w:r/>
    </w:p>
    <w:p>
      <w:pPr>
        <w:pStyle w:val="1080"/>
        <w:spacing w:line="360" w:lineRule="auto"/>
        <w:tabs>
          <w:tab w:val="right" w:pos="8296" w:leader="dot"/>
        </w:tabs>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rPr>
          <w:rFonts w:hint="eastAsia"/>
        </w:rPr>
        <w:t xml:space="preserve">29</w:t>
      </w:r>
      <w:r/>
    </w:p>
    <w:p>
      <w:pPr>
        <w:pStyle w:val="1030"/>
        <w:jc w:val="center"/>
        <w:spacing w:line="360" w:lineRule="auto"/>
        <w:rPr>
          <w:rFonts w:ascii="宋体" w:hAnsi="宋体"/>
          <w:sz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sz w:val="28"/>
        </w:rPr>
        <w:fldChar w:fldCharType="end"/>
      </w:r>
      <w:r>
        <w:rPr>
          <w:rFonts w:ascii="宋体" w:hAnsi="宋体"/>
          <w:sz w:val="28"/>
        </w:rPr>
      </w:r>
      <w:r/>
    </w:p>
    <w:p>
      <w:pPr>
        <w:pStyle w:val="1031"/>
        <w:jc w:val="center"/>
        <w:spacing w:line="360" w:lineRule="auto"/>
        <w:rPr>
          <w:rFonts w:ascii="宋体" w:hAnsi="宋体"/>
          <w:sz w:val="36"/>
        </w:rPr>
      </w:pPr>
      <w:r/>
      <w:bookmarkStart w:id="0" w:name="_Toc497133090"/>
      <w:r>
        <w:rPr>
          <w:rFonts w:hint="eastAsia" w:ascii="宋体" w:hAnsi="宋体"/>
          <w:sz w:val="36"/>
        </w:rPr>
        <w:t xml:space="preserve">第一章</w:t>
      </w:r>
      <w:r>
        <w:rPr>
          <w:rFonts w:ascii="宋体" w:hAnsi="宋体"/>
          <w:sz w:val="36"/>
        </w:rPr>
        <w:t xml:space="preserve"> 招标公告</w:t>
      </w:r>
      <w:bookmarkEnd w:id="0"/>
      <w:r>
        <w:rPr>
          <w:rFonts w:ascii="宋体" w:hAnsi="宋体"/>
          <w:sz w:val="36"/>
        </w:rPr>
      </w:r>
      <w:r/>
    </w:p>
    <w:p>
      <w:pPr>
        <w:pStyle w:val="1030"/>
        <w:ind w:firstLine="420"/>
        <w:rPr>
          <w:rFonts w:hint="eastAsia" w:ascii="宋体" w:hAnsi="宋体" w:cs="宋体"/>
          <w:szCs w:val="21"/>
        </w:rPr>
        <w:pBdr>
          <w:top w:val="single" w:color="000000" w:sz="4" w:space="1"/>
          <w:left w:val="single" w:color="000000" w:sz="4" w:space="4"/>
          <w:bottom w:val="single" w:color="000000" w:sz="4" w:space="1"/>
          <w:right w:val="single" w:color="000000" w:sz="4" w:space="4"/>
        </w:pBdr>
      </w:pPr>
      <w:r/>
      <w:bookmarkStart w:id="1" w:name="OLE_LINK1"/>
      <w:r>
        <w:rPr>
          <w:rFonts w:hint="eastAsia" w:ascii="宋体" w:hAnsi="宋体" w:cs="宋体"/>
          <w:szCs w:val="21"/>
        </w:rPr>
        <w:t xml:space="preserve">项目概况</w:t>
      </w:r>
      <w:r>
        <w:rPr>
          <w:rFonts w:hint="eastAsia" w:ascii="宋体" w:hAnsi="宋体" w:cs="宋体"/>
          <w:szCs w:val="21"/>
        </w:rPr>
      </w:r>
      <w:r/>
    </w:p>
    <w:p>
      <w:pPr>
        <w:pStyle w:val="1030"/>
        <w:ind w:firstLine="420"/>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扬州市广陵区行政审批中心集中办公区能源费用托管服务</w:t>
      </w:r>
      <w:r>
        <w:rPr>
          <w:rFonts w:hint="eastAsia" w:ascii="宋体" w:hAnsi="宋体" w:cs="宋体"/>
          <w:szCs w:val="21"/>
        </w:rPr>
        <w:t xml:space="preserve">的潜在投标人应在</w:t>
      </w:r>
      <w:r>
        <w:rPr>
          <w:rFonts w:hint="eastAsia" w:ascii="宋体" w:hAnsi="宋体" w:cs="宋体"/>
          <w:szCs w:val="21"/>
          <w:u w:val="single"/>
        </w:rPr>
        <w:t xml:space="preserve">“江苏省政府采购网”、“扬州市政府采购网”、“扬州市广陵区政府采购网”</w:t>
      </w:r>
      <w:r>
        <w:rPr>
          <w:rFonts w:hint="eastAsia" w:ascii="宋体" w:hAnsi="宋体" w:cs="宋体"/>
          <w:szCs w:val="21"/>
        </w:rPr>
        <w:t xml:space="preserve">获取招标文件，并于</w:t>
      </w:r>
      <w:r>
        <w:rPr>
          <w:rFonts w:hint="eastAsia" w:ascii="宋体" w:hAnsi="宋体" w:cs="宋体"/>
          <w:szCs w:val="21"/>
          <w:u w:val="single"/>
        </w:rPr>
        <w:t xml:space="preserve">2025年</w:t>
      </w:r>
      <w:r>
        <w:rPr>
          <w:rFonts w:hint="eastAsia" w:ascii="宋体" w:hAnsi="宋体" w:cs="宋体"/>
          <w:szCs w:val="21"/>
          <w:u w:val="single"/>
          <w:lang w:val="en-US" w:eastAsia="zh-CN"/>
        </w:rPr>
        <w:t xml:space="preserve">11</w:t>
      </w:r>
      <w:r>
        <w:rPr>
          <w:rFonts w:hint="eastAsia" w:ascii="宋体" w:hAnsi="宋体" w:cs="宋体"/>
          <w:szCs w:val="21"/>
          <w:u w:val="single"/>
        </w:rPr>
        <w:t xml:space="preserve">月</w:t>
      </w:r>
      <w:r>
        <w:rPr>
          <w:rFonts w:hint="eastAsia" w:ascii="宋体" w:hAnsi="宋体" w:cs="宋体"/>
          <w:szCs w:val="21"/>
          <w:u w:val="single"/>
          <w:lang w:val="en-US" w:eastAsia="zh-CN"/>
        </w:rPr>
        <w:t xml:space="preserve">25</w:t>
      </w:r>
      <w:r>
        <w:rPr>
          <w:rFonts w:hint="eastAsia" w:ascii="宋体" w:hAnsi="宋体" w:cs="宋体"/>
          <w:szCs w:val="21"/>
          <w:u w:val="single"/>
        </w:rPr>
        <w:t xml:space="preserve">日</w:t>
      </w:r>
      <w:r>
        <w:rPr>
          <w:rFonts w:hint="eastAsia" w:ascii="宋体" w:hAnsi="宋体" w:cs="宋体"/>
          <w:bCs/>
          <w:szCs w:val="21"/>
          <w:u w:val="single"/>
        </w:rPr>
        <w:t xml:space="preserve">9点30分（北京时间）</w:t>
      </w:r>
      <w:r>
        <w:rPr>
          <w:rFonts w:hint="eastAsia" w:ascii="宋体" w:hAnsi="宋体" w:cs="宋体"/>
          <w:bCs/>
          <w:szCs w:val="21"/>
        </w:rPr>
        <w:t xml:space="preserve">前递交投标文件</w:t>
      </w:r>
      <w:r>
        <w:rPr>
          <w:rFonts w:hint="eastAsia" w:ascii="宋体" w:hAnsi="宋体" w:cs="宋体"/>
          <w:szCs w:val="21"/>
        </w:rPr>
        <w:t xml:space="preserve">。</w:t>
      </w:r>
      <w:r>
        <w:rPr>
          <w:rFonts w:hint="eastAsia" w:ascii="宋体" w:hAnsi="宋体" w:cs="宋体"/>
          <w:szCs w:val="21"/>
        </w:rPr>
      </w:r>
      <w:r/>
    </w:p>
    <w:p>
      <w:pPr>
        <w:pStyle w:val="1030"/>
        <w:ind w:firstLine="422"/>
        <w:spacing w:line="360" w:lineRule="auto"/>
        <w:rPr>
          <w:rFonts w:hint="eastAsia" w:ascii="宋体" w:hAnsi="宋体" w:cs="宋体"/>
          <w:b/>
          <w:bCs/>
          <w:szCs w:val="21"/>
        </w:rPr>
      </w:pPr>
      <w:r/>
      <w:bookmarkStart w:id="2" w:name="_Toc35393790"/>
      <w:r/>
      <w:bookmarkStart w:id="3" w:name="_Toc28359079"/>
      <w:r/>
      <w:bookmarkStart w:id="4" w:name="_Toc35393621"/>
      <w:r/>
      <w:bookmarkStart w:id="5" w:name="_Toc28359002"/>
      <w:r/>
      <w:bookmarkStart w:id="6" w:name="_Hlk24379207"/>
      <w:r>
        <w:rPr>
          <w:rFonts w:hint="eastAsia" w:ascii="宋体" w:hAnsi="宋体" w:cs="宋体"/>
          <w:b/>
          <w:bCs/>
          <w:szCs w:val="21"/>
        </w:rPr>
        <w:t xml:space="preserve">一、项目基本情况</w:t>
      </w:r>
      <w:bookmarkEnd w:id="2"/>
      <w:r/>
      <w:bookmarkEnd w:id="3"/>
      <w:r/>
      <w:bookmarkEnd w:id="4"/>
      <w:r/>
      <w:bookmarkEnd w:id="5"/>
      <w:r>
        <w:rPr>
          <w:rFonts w:hint="eastAsia" w:ascii="宋体" w:hAnsi="宋体" w:cs="宋体"/>
          <w:b/>
          <w:bCs/>
          <w:szCs w:val="21"/>
        </w:rPr>
      </w:r>
      <w:r/>
    </w:p>
    <w:p>
      <w:pPr>
        <w:pStyle w:val="1030"/>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JSZC-321002-SDTZ-G2025-0017</w:t>
      </w:r>
      <w:r>
        <w:rPr>
          <w:rFonts w:hint="eastAsia" w:ascii="宋体" w:hAnsi="宋体" w:eastAsia="宋体" w:cs="宋体"/>
          <w:szCs w:val="21"/>
          <w:lang w:eastAsia="zh-CN"/>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2、项目名称：扬州市广陵区行政审批中心集中办公区能源费用托管服务</w:t>
      </w:r>
      <w:r>
        <w:rPr>
          <w:rFonts w:hint="eastAsia" w:ascii="宋体" w:hAnsi="宋体" w:cs="宋体"/>
          <w:szCs w:val="21"/>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3、采购方式：公开招标</w:t>
      </w:r>
      <w:r>
        <w:rPr>
          <w:rFonts w:hint="eastAsia" w:ascii="宋体" w:hAnsi="宋体" w:cs="宋体"/>
          <w:szCs w:val="21"/>
        </w:rPr>
      </w:r>
      <w:r/>
    </w:p>
    <w:p>
      <w:pPr>
        <w:pStyle w:val="1030"/>
        <w:ind w:firstLine="420"/>
        <w:spacing w:line="360" w:lineRule="auto"/>
        <w:rPr>
          <w:rFonts w:ascii="宋体" w:hAnsi="宋体" w:cs="宋体"/>
          <w:color w:val="000000"/>
          <w:szCs w:val="21"/>
        </w:rPr>
      </w:pPr>
      <w:r/>
      <w:bookmarkEnd w:id="6"/>
      <w:r>
        <w:rPr>
          <w:rFonts w:hint="eastAsia" w:ascii="宋体" w:hAnsi="宋体" w:cs="宋体"/>
          <w:color w:val="000000"/>
          <w:szCs w:val="21"/>
        </w:rPr>
        <w:t xml:space="preserve">4、预算金额：4877600元，投标时按8年报总价。</w:t>
      </w:r>
      <w:r>
        <w:rPr>
          <w:rFonts w:ascii="宋体" w:hAnsi="宋体" w:cs="宋体"/>
          <w:color w:val="000000"/>
          <w:szCs w:val="21"/>
        </w:rPr>
      </w:r>
      <w:r/>
    </w:p>
    <w:p>
      <w:pPr>
        <w:pStyle w:val="1030"/>
        <w:ind w:left="420"/>
        <w:spacing w:line="360" w:lineRule="auto"/>
        <w:rPr>
          <w:rFonts w:hint="eastAsia" w:ascii="宋体" w:hAnsi="宋体" w:cs="宋体"/>
          <w:szCs w:val="21"/>
        </w:rPr>
      </w:pPr>
      <w:r>
        <w:rPr>
          <w:rFonts w:hint="eastAsia" w:ascii="宋体" w:hAnsi="宋体" w:cs="宋体"/>
          <w:szCs w:val="21"/>
        </w:rPr>
        <w:t xml:space="preserve">5、最高限价：本项目设定最高限价为4877600元，投标报价超过最高限价的，作无效标处理。</w:t>
      </w:r>
      <w:r>
        <w:rPr>
          <w:rFonts w:hint="eastAsia" w:ascii="宋体" w:hAnsi="宋体" w:cs="宋体"/>
          <w:szCs w:val="21"/>
        </w:rPr>
      </w:r>
      <w:r/>
    </w:p>
    <w:p>
      <w:pPr>
        <w:pStyle w:val="1030"/>
        <w:ind w:firstLine="420"/>
        <w:spacing w:line="360" w:lineRule="auto"/>
        <w:rPr>
          <w:rFonts w:hint="eastAsia" w:ascii="宋体" w:hAnsi="宋体" w:cs="宋体"/>
          <w:szCs w:val="21"/>
          <w:lang w:val="zh-CN"/>
        </w:rPr>
      </w:pPr>
      <w:r>
        <w:rPr>
          <w:rFonts w:hint="eastAsia" w:ascii="宋体" w:hAnsi="宋体" w:cs="宋体"/>
          <w:szCs w:val="21"/>
        </w:rPr>
        <w:t xml:space="preserve">6、采购需求：</w:t>
      </w:r>
      <w:r>
        <w:rPr>
          <w:rFonts w:hint="eastAsia" w:ascii="宋体" w:hAnsi="宋体" w:cs="宋体"/>
          <w:szCs w:val="21"/>
          <w:lang w:val="zh-CN"/>
        </w:rPr>
        <w:t xml:space="preserve">详见招标文件第四章项目需求</w:t>
      </w:r>
      <w:r>
        <w:rPr>
          <w:rFonts w:hint="eastAsia" w:ascii="宋体" w:hAnsi="宋体" w:cs="宋体"/>
          <w:szCs w:val="21"/>
          <w:lang w:val="zh-CN"/>
        </w:rPr>
      </w:r>
      <w:r/>
    </w:p>
    <w:p>
      <w:pPr>
        <w:pStyle w:val="1030"/>
        <w:ind w:firstLine="420"/>
        <w:spacing w:line="360" w:lineRule="auto"/>
        <w:rPr>
          <w:rFonts w:ascii="宋体" w:hAnsi="宋体" w:cs="宋体"/>
          <w:color w:val="000000"/>
          <w:szCs w:val="21"/>
        </w:rPr>
      </w:pPr>
      <w:r>
        <w:rPr>
          <w:rFonts w:hint="eastAsia" w:ascii="宋体" w:hAnsi="宋体" w:cs="宋体"/>
          <w:color w:val="000000"/>
          <w:szCs w:val="21"/>
          <w:lang w:val="zh-CN"/>
        </w:rPr>
        <w:t xml:space="preserve">7、</w:t>
      </w:r>
      <w:r>
        <w:rPr>
          <w:rFonts w:hint="eastAsia" w:ascii="宋体" w:hAnsi="宋体" w:cs="宋体"/>
          <w:color w:val="000000"/>
          <w:szCs w:val="21"/>
          <w:lang w:eastAsia="zh-CN"/>
        </w:rPr>
        <w:t xml:space="preserve">合同履行期限</w:t>
      </w:r>
      <w:r>
        <w:rPr>
          <w:rFonts w:hint="eastAsia" w:ascii="宋体" w:hAnsi="宋体" w:cs="宋体"/>
          <w:color w:val="000000"/>
          <w:szCs w:val="21"/>
          <w:lang w:val="zh-CN"/>
        </w:rPr>
        <w:t xml:space="preserve">：</w:t>
      </w:r>
      <w:r>
        <w:rPr>
          <w:rFonts w:hint="eastAsia" w:ascii="宋体" w:hAnsi="宋体" w:cs="宋体"/>
          <w:color w:val="000000"/>
          <w:szCs w:val="21"/>
        </w:rPr>
        <w:t xml:space="preserve">8年(其中光伏托管周期为25年，从项目验收之日起的次月1号进入运维期）。</w:t>
      </w:r>
      <w:r>
        <w:rPr>
          <w:rFonts w:ascii="宋体" w:hAnsi="宋体" w:cs="宋体"/>
          <w:color w:val="000000"/>
          <w:szCs w:val="21"/>
        </w:rPr>
      </w:r>
      <w:r/>
    </w:p>
    <w:p>
      <w:pPr>
        <w:pStyle w:val="1030"/>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8、本项目</w:t>
      </w:r>
      <w:r>
        <w:rPr>
          <w:rFonts w:hint="eastAsia" w:ascii="宋体" w:hAnsi="宋体" w:cs="宋体"/>
          <w:color w:val="000000"/>
          <w:szCs w:val="21"/>
          <w:u w:val="single"/>
          <w:lang w:val="zh-CN"/>
        </w:rPr>
        <w:t xml:space="preserve">接受</w:t>
      </w:r>
      <w:r>
        <w:rPr>
          <w:rFonts w:hint="eastAsia" w:ascii="宋体" w:hAnsi="宋体" w:cs="宋体"/>
          <w:color w:val="000000"/>
          <w:szCs w:val="21"/>
          <w:lang w:val="zh-CN"/>
        </w:rPr>
        <w:t xml:space="preserve">联合体（联合体</w:t>
      </w:r>
      <w:r>
        <w:rPr>
          <w:rFonts w:hint="eastAsia" w:ascii="宋体" w:hAnsi="宋体" w:cs="宋体"/>
          <w:color w:val="000000"/>
          <w:szCs w:val="21"/>
        </w:rPr>
        <w:t xml:space="preserve">成员</w:t>
      </w:r>
      <w:r>
        <w:rPr>
          <w:rFonts w:hint="eastAsia" w:ascii="宋体" w:hAnsi="宋体" w:cs="宋体"/>
          <w:color w:val="000000"/>
          <w:szCs w:val="21"/>
          <w:lang w:val="zh-CN"/>
        </w:rPr>
        <w:t xml:space="preserve">不超过2家）</w:t>
      </w:r>
      <w:r>
        <w:rPr>
          <w:rFonts w:hint="eastAsia" w:ascii="宋体" w:hAnsi="宋体" w:cs="宋体"/>
          <w:color w:val="000000"/>
          <w:szCs w:val="21"/>
          <w:lang w:val="zh-CN"/>
        </w:rPr>
      </w:r>
      <w:r/>
    </w:p>
    <w:p>
      <w:pPr>
        <w:pStyle w:val="1030"/>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9、本项目</w:t>
      </w:r>
      <w:r>
        <w:rPr>
          <w:rFonts w:hint="eastAsia" w:ascii="宋体" w:hAnsi="宋体" w:cs="宋体"/>
          <w:color w:val="000000"/>
          <w:szCs w:val="21"/>
          <w:u w:val="single"/>
          <w:lang w:val="zh-CN"/>
        </w:rPr>
        <w:t xml:space="preserve">不接受</w:t>
      </w:r>
      <w:r>
        <w:rPr>
          <w:rFonts w:hint="eastAsia" w:ascii="宋体" w:hAnsi="宋体" w:cs="宋体"/>
          <w:color w:val="000000"/>
          <w:szCs w:val="21"/>
          <w:lang w:val="zh-CN"/>
        </w:rPr>
        <w:t xml:space="preserve">进口产品</w:t>
      </w:r>
      <w:r>
        <w:rPr>
          <w:rFonts w:hint="eastAsia" w:ascii="宋体" w:hAnsi="宋体" w:cs="宋体"/>
          <w:color w:val="000000"/>
          <w:szCs w:val="21"/>
          <w:lang w:val="zh-CN"/>
        </w:rPr>
      </w:r>
      <w:r/>
    </w:p>
    <w:p>
      <w:pPr>
        <w:pStyle w:val="1030"/>
        <w:ind w:firstLine="422"/>
        <w:spacing w:line="360" w:lineRule="auto"/>
        <w:rPr>
          <w:rFonts w:hint="eastAsia" w:ascii="宋体" w:hAnsi="宋体" w:cs="宋体"/>
          <w:b/>
          <w:bCs/>
          <w:szCs w:val="21"/>
        </w:rPr>
      </w:pPr>
      <w:r/>
      <w:bookmarkStart w:id="7" w:name="_Toc28359003"/>
      <w:r/>
      <w:bookmarkStart w:id="8" w:name="_Toc28359080"/>
      <w:r/>
      <w:bookmarkStart w:id="9" w:name="_Toc35393791"/>
      <w:r/>
      <w:bookmarkStart w:id="10" w:name="_Toc35393622"/>
      <w:r>
        <w:rPr>
          <w:rFonts w:hint="eastAsia" w:ascii="宋体" w:hAnsi="宋体" w:cs="宋体"/>
          <w:b/>
          <w:bCs/>
          <w:szCs w:val="21"/>
        </w:rPr>
        <w:t xml:space="preserve">二、申请人的资格要求：</w:t>
      </w:r>
      <w:bookmarkEnd w:id="7"/>
      <w:r/>
      <w:bookmarkEnd w:id="8"/>
      <w:r/>
      <w:bookmarkEnd w:id="9"/>
      <w:r/>
      <w:bookmarkEnd w:id="10"/>
      <w:r>
        <w:rPr>
          <w:rFonts w:hint="eastAsia" w:ascii="宋体" w:hAnsi="宋体" w:cs="宋体"/>
          <w:b/>
          <w:bCs/>
          <w:szCs w:val="21"/>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1030"/>
        <w:ind w:firstLine="420"/>
        <w:spacing w:line="360" w:lineRule="auto"/>
        <w:rPr>
          <w:rFonts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rPr>
          <w:rFonts w:ascii="宋体" w:hAnsi="宋体" w:cs="宋体"/>
          <w:i/>
          <w:iCs/>
          <w:szCs w:val="21"/>
          <w:u w:val="single"/>
        </w:rPr>
      </w:r>
      <w:r/>
    </w:p>
    <w:p>
      <w:pPr>
        <w:pStyle w:val="1030"/>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cs="宋体"/>
          <w:i/>
          <w:iCs/>
          <w:szCs w:val="21"/>
          <w:u w:val="single"/>
        </w:rPr>
      </w:r>
      <w:r/>
    </w:p>
    <w:p>
      <w:pPr>
        <w:pStyle w:val="1030"/>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rPr>
          <w:rFonts w:ascii="宋体" w:hAnsi="宋体"/>
          <w:b/>
          <w:bCs/>
          <w:i/>
          <w:iCs/>
          <w:u w:val="single"/>
        </w:rPr>
      </w:r>
      <w:r/>
    </w:p>
    <w:p>
      <w:pPr>
        <w:pStyle w:val="1030"/>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1030"/>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rPr>
          <w:rFonts w:ascii="宋体" w:hAnsi="宋体" w:cs="宋体"/>
          <w:i/>
          <w:iCs/>
          <w:szCs w:val="21"/>
          <w:u w:val="single"/>
        </w:rPr>
      </w:r>
      <w:r/>
    </w:p>
    <w:p>
      <w:pPr>
        <w:pStyle w:val="1030"/>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ascii="宋体" w:hAnsi="宋体" w:cs="宋体"/>
          <w:i/>
          <w:iCs/>
          <w:szCs w:val="21"/>
          <w:u w:val="single"/>
        </w:rPr>
      </w:r>
      <w:r/>
    </w:p>
    <w:p>
      <w:pPr>
        <w:pStyle w:val="1030"/>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ascii="宋体" w:hAnsi="宋体" w:cs="宋体"/>
          <w:b/>
          <w:bCs/>
          <w:i/>
          <w:iCs/>
          <w:szCs w:val="21"/>
          <w:u w:val="single"/>
        </w:rPr>
      </w:r>
      <w:r/>
    </w:p>
    <w:p>
      <w:pPr>
        <w:pStyle w:val="1030"/>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rPr>
          <w:rFonts w:ascii="宋体" w:hAnsi="宋体" w:cs="宋体"/>
          <w:i/>
          <w:iCs/>
          <w:szCs w:val="21"/>
          <w:u w:val="single"/>
        </w:rPr>
      </w:r>
      <w:r/>
    </w:p>
    <w:p>
      <w:pPr>
        <w:pStyle w:val="1030"/>
        <w:ind w:firstLine="420"/>
        <w:spacing w:line="360" w:lineRule="auto"/>
        <w:rPr>
          <w:rFonts w:hint="eastAsia" w:ascii="宋体" w:hAnsi="宋体" w:cs="宋体"/>
          <w:color w:val="000000"/>
          <w:szCs w:val="21"/>
        </w:rPr>
      </w:pPr>
      <w:r>
        <w:rPr>
          <w:rFonts w:hint="eastAsia" w:ascii="宋体" w:hAnsi="宋体" w:cs="宋体"/>
          <w:color w:val="000000"/>
          <w:szCs w:val="21"/>
        </w:rPr>
        <w:t xml:space="preserve">2.落实政府采购政策需满足的资格要求：</w:t>
      </w:r>
      <w:r>
        <w:rPr>
          <w:rFonts w:hint="eastAsia" w:ascii="宋体" w:hAnsi="宋体" w:cs="宋体"/>
          <w:i/>
          <w:color w:val="000000"/>
          <w:szCs w:val="21"/>
          <w:u w:val="single"/>
        </w:rPr>
        <w:t xml:space="preserve">根据《政府采购促进中小企业发展管理办法》的规定，本项目对小型和微型企业、残疾人福利单位、监狱和戒毒企业提供的货物、服务给予20%的价格扣除。投标人必须提供招标文件中相应企业声明函，不符合要求或未提供的不给予价格扣除。</w:t>
      </w:r>
      <w:r>
        <w:rPr>
          <w:rFonts w:hint="eastAsia" w:ascii="宋体" w:hAnsi="宋体" w:cs="宋体"/>
          <w:color w:val="000000"/>
          <w:szCs w:val="21"/>
        </w:rPr>
      </w:r>
      <w:r/>
    </w:p>
    <w:p>
      <w:pPr>
        <w:pStyle w:val="1030"/>
        <w:ind w:firstLine="420"/>
        <w:spacing w:line="360" w:lineRule="auto"/>
        <w:rPr>
          <w:rFonts w:hint="eastAsia" w:ascii="宋体" w:hAnsi="宋体" w:cs="宋体"/>
          <w:i/>
          <w:szCs w:val="21"/>
          <w:u w:val="single"/>
        </w:rPr>
      </w:pPr>
      <w:r>
        <w:rPr>
          <w:rFonts w:hint="eastAsia" w:ascii="宋体" w:hAnsi="宋体" w:cs="宋体"/>
          <w:szCs w:val="21"/>
        </w:rPr>
        <w:t xml:space="preserve">3.本项目的特定资格要求：</w:t>
      </w:r>
      <w:r>
        <w:rPr>
          <w:rFonts w:hint="eastAsia" w:ascii="宋体" w:hAnsi="宋体" w:cs="宋体"/>
          <w:i/>
          <w:szCs w:val="21"/>
          <w:u w:val="single"/>
        </w:rPr>
        <w:t xml:space="preserve">无。</w:t>
      </w:r>
      <w:r>
        <w:rPr>
          <w:rFonts w:hint="eastAsia" w:ascii="宋体" w:hAnsi="宋体" w:cs="宋体"/>
          <w:i/>
          <w:szCs w:val="21"/>
          <w:u w:val="single"/>
        </w:rPr>
      </w:r>
      <w:r/>
    </w:p>
    <w:p>
      <w:pPr>
        <w:pStyle w:val="1030"/>
        <w:ind w:firstLine="420"/>
        <w:spacing w:line="360" w:lineRule="auto"/>
        <w:rPr>
          <w:rFonts w:ascii="宋体" w:hAnsi="宋体" w:cs="宋体"/>
          <w:szCs w:val="21"/>
        </w:rPr>
      </w:pPr>
      <w:r>
        <w:rPr>
          <w:rFonts w:hint="eastAsia" w:ascii="宋体" w:hAnsi="宋体" w:cs="宋体"/>
          <w:szCs w:val="21"/>
        </w:rPr>
        <w:t xml:space="preserve">4.其他资格条件：</w:t>
      </w:r>
      <w:r>
        <w:rPr>
          <w:rFonts w:ascii="宋体" w:hAnsi="宋体" w:cs="宋体"/>
          <w:szCs w:val="21"/>
        </w:rPr>
      </w:r>
      <w:r/>
    </w:p>
    <w:p>
      <w:pPr>
        <w:pStyle w:val="1030"/>
        <w:ind w:firstLine="420"/>
        <w:spacing w:line="360" w:lineRule="auto"/>
        <w:rPr>
          <w:rFonts w:ascii="宋体" w:hAnsi="宋体"/>
          <w:i/>
          <w:iCs/>
          <w:color w:val="000000"/>
          <w:szCs w:val="21"/>
          <w:u w:val="single"/>
        </w:rPr>
      </w:pPr>
      <w:r>
        <w:rPr>
          <w:rFonts w:hint="eastAsia" w:ascii="宋体" w:hAnsi="宋体"/>
          <w:i/>
          <w:iCs/>
          <w:color w:val="000000"/>
          <w:szCs w:val="21"/>
          <w:u w:val="single"/>
        </w:rPr>
        <w:t xml:space="preserve">(1)若以联合体形式参加投标的，参加联合体的供应商均应当具备《中华人民共和国政府采购法》第二十二条规定的条件，并应当向采购人提交联合体协议，载明联合体各方承担的工作和义务。</w:t>
      </w:r>
      <w:r>
        <w:rPr>
          <w:rFonts w:ascii="宋体" w:hAnsi="宋体"/>
          <w:i/>
          <w:iCs/>
          <w:color w:val="000000"/>
          <w:szCs w:val="21"/>
          <w:u w:val="single"/>
        </w:rPr>
      </w:r>
      <w:r/>
    </w:p>
    <w:p>
      <w:pPr>
        <w:pStyle w:val="1030"/>
        <w:ind w:firstLine="420"/>
        <w:spacing w:line="360" w:lineRule="auto"/>
        <w:rPr>
          <w:rFonts w:ascii="宋体" w:hAnsi="宋体"/>
          <w:i/>
          <w:iCs/>
          <w:color w:val="000000"/>
          <w:szCs w:val="21"/>
          <w:u w:val="single"/>
        </w:rPr>
      </w:pPr>
      <w:r>
        <w:rPr>
          <w:rFonts w:hint="eastAsia" w:ascii="宋体" w:hAnsi="宋体"/>
          <w:i/>
          <w:iCs/>
          <w:color w:val="000000"/>
          <w:szCs w:val="21"/>
          <w:u w:val="single"/>
        </w:rPr>
        <w:t xml:space="preserve">(2)联合体各方必须指定一方作为联合体的牵头单位，授权其代表所有联合体成员负责投标和合同实施阶段的主办、协调工作，并应当向采购人提交由所有联合体成员法定代表人签署的授权书，联合体各成员与采购人之间的往来信函将通过牵头单位传递。</w:t>
      </w:r>
      <w:r>
        <w:rPr>
          <w:rFonts w:ascii="宋体" w:hAnsi="宋体"/>
          <w:i/>
          <w:iCs/>
          <w:color w:val="000000"/>
          <w:szCs w:val="21"/>
          <w:u w:val="single"/>
        </w:rPr>
      </w:r>
      <w:r/>
    </w:p>
    <w:p>
      <w:pPr>
        <w:pStyle w:val="1030"/>
        <w:ind w:firstLine="420"/>
        <w:spacing w:line="360" w:lineRule="auto"/>
        <w:rPr>
          <w:rFonts w:hint="eastAsia" w:ascii="宋体" w:hAnsi="宋体" w:cs="宋体"/>
          <w:i/>
          <w:color w:val="000000"/>
          <w:szCs w:val="21"/>
          <w:u w:val="single"/>
        </w:rPr>
      </w:pPr>
      <w:r>
        <w:rPr>
          <w:rFonts w:hint="eastAsia" w:ascii="宋体" w:hAnsi="宋体"/>
          <w:i/>
          <w:iCs/>
          <w:color w:val="000000"/>
          <w:szCs w:val="21"/>
          <w:u w:val="single"/>
        </w:rPr>
        <w:t xml:space="preserve">(3)联合体各方应明确联合体主体单位，投标文件内容可由联合体主体单位加盖单位公章，并由其法定代表人或授权代表签字。</w:t>
      </w:r>
      <w:r>
        <w:rPr>
          <w:rFonts w:hint="eastAsia" w:ascii="宋体" w:hAnsi="宋体" w:cs="宋体"/>
          <w:i/>
          <w:color w:val="000000"/>
          <w:szCs w:val="21"/>
          <w:u w:val="single"/>
        </w:rPr>
      </w:r>
      <w:r/>
    </w:p>
    <w:p>
      <w:pPr>
        <w:pStyle w:val="1030"/>
        <w:spacing w:line="360" w:lineRule="auto"/>
        <w:tabs>
          <w:tab w:val="left" w:pos="266" w:leader="none"/>
        </w:tabs>
        <w:rPr>
          <w:rFonts w:ascii="宋体" w:hAnsi="宋体" w:cs="宋体"/>
          <w:b/>
          <w:bCs/>
        </w:rPr>
      </w:pPr>
      <w:r>
        <w:rPr>
          <w:rFonts w:hint="eastAsia" w:ascii="宋体" w:hAnsi="宋体" w:cs="宋体"/>
          <w:b/>
          <w:bCs/>
        </w:rPr>
        <w:t xml:space="preserve">三、获取招标文件</w:t>
      </w:r>
      <w:r>
        <w:rPr>
          <w:rFonts w:ascii="宋体" w:hAnsi="宋体" w:cs="宋体"/>
          <w:b/>
          <w:bCs/>
        </w:rPr>
      </w:r>
      <w:r/>
    </w:p>
    <w:p>
      <w:pPr>
        <w:pStyle w:val="1030"/>
        <w:ind w:firstLine="540"/>
        <w:spacing w:line="360" w:lineRule="auto"/>
        <w:rPr>
          <w:rFonts w:ascii="宋体" w:hAnsi="宋体" w:cs="宋体"/>
        </w:rPr>
      </w:pPr>
      <w:r/>
      <w:bookmarkStart w:id="11" w:name="_Toc28359005"/>
      <w:r/>
      <w:bookmarkStart w:id="12" w:name="_Toc28359082"/>
      <w:r/>
      <w:bookmarkStart w:id="13" w:name="_Toc38985266"/>
      <w:r/>
      <w:bookmarkStart w:id="14" w:name="_Toc35393624"/>
      <w:r/>
      <w:bookmarkStart w:id="15" w:name="_Toc35393793"/>
      <w:r>
        <w:rPr>
          <w:rFonts w:hint="eastAsia" w:ascii="宋体" w:hAnsi="宋体" w:cs="宋体"/>
        </w:rPr>
        <w:t xml:space="preserve">1.时间：自招标文件公告发布之日起5个工作日。5个工作日后仍可下载招标文件，但不作为供应商权益受到损害的证明材料和依据。</w:t>
      </w:r>
      <w:r>
        <w:rPr>
          <w:rFonts w:ascii="宋体" w:hAnsi="宋体" w:cs="宋体"/>
        </w:rPr>
      </w:r>
      <w:r/>
    </w:p>
    <w:p>
      <w:pPr>
        <w:pStyle w:val="1030"/>
        <w:ind w:firstLine="540"/>
        <w:spacing w:line="360" w:lineRule="auto"/>
        <w:rPr>
          <w:rFonts w:hint="eastAsia"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hint="eastAsia" w:ascii="宋体" w:hAnsi="宋体"/>
          <w:b/>
          <w:bCs/>
          <w:szCs w:val="21"/>
        </w:rPr>
      </w:r>
      <w:r/>
    </w:p>
    <w:p>
      <w:pPr>
        <w:pStyle w:val="1030"/>
        <w:ind w:firstLine="540"/>
        <w:spacing w:line="360" w:lineRule="auto"/>
        <w:rPr>
          <w:rFonts w:hint="eastAsia"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rPr>
          <w:rFonts w:hint="eastAsia" w:ascii="宋体" w:hAnsi="宋体" w:cs="宋体"/>
          <w:b/>
          <w:bCs/>
        </w:rPr>
      </w:r>
      <w:r/>
    </w:p>
    <w:p>
      <w:pPr>
        <w:pStyle w:val="1030"/>
        <w:ind w:firstLine="600"/>
        <w:spacing w:line="360" w:lineRule="auto"/>
        <w:rPr>
          <w:rFonts w:hint="eastAsia" w:ascii="宋体" w:hAnsi="宋体" w:cs="宋体"/>
          <w:b/>
          <w:color w:val="000000"/>
          <w:szCs w:val="21"/>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shd w:val="clear" w:color="auto" w:fill="ffffff"/>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color w:val="000000"/>
          <w:szCs w:val="21"/>
          <w:shd w:val="clear" w:color="auto" w:fill="ffffff"/>
          <w:lang w:bidi="ar"/>
        </w:rPr>
      </w:r>
      <w:r/>
    </w:p>
    <w:p>
      <w:pPr>
        <w:pStyle w:val="1030"/>
        <w:ind w:firstLine="600"/>
        <w:spacing w:line="360" w:lineRule="auto"/>
        <w:rPr>
          <w:rFonts w:hint="eastAsia" w:ascii="宋体" w:hAnsi="宋体" w:cs="宋体"/>
          <w:b/>
          <w:color w:val="000000"/>
          <w:szCs w:val="21"/>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shd w:val="clear" w:color="auto" w:fill="ffffff"/>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b/>
          <w:color w:val="000000"/>
          <w:szCs w:val="21"/>
          <w:shd w:val="clear" w:color="auto" w:fill="ffffff"/>
          <w:lang w:bidi="ar"/>
        </w:rPr>
      </w:r>
      <w:r/>
    </w:p>
    <w:p>
      <w:pPr>
        <w:pStyle w:val="1030"/>
        <w:ind w:firstLine="600"/>
        <w:spacing w:line="360" w:lineRule="auto"/>
        <w:rPr>
          <w:rFonts w:hint="eastAsia" w:ascii="宋体" w:hAnsi="宋体" w:cs="宋体"/>
          <w:b/>
          <w:color w:val="000000"/>
          <w:szCs w:val="21"/>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shd w:val="clear" w:color="auto" w:fill="ffffff"/>
          <w:lang w:bidi="ar"/>
        </w:rPr>
        <w:t xml:space="preserve">（3）“CA数字证书”的办理材料以及供应商操作手册详见：</w:t>
      </w:r>
      <w:r>
        <w:rPr>
          <w:rFonts w:hint="eastAsia" w:ascii="宋体" w:hAnsi="宋体" w:cs="宋体"/>
          <w:b/>
          <w:color w:val="000000"/>
          <w:szCs w:val="21"/>
          <w:shd w:val="clear" w:color="auto" w:fill="ffffff"/>
          <w:lang w:bidi="ar"/>
        </w:rPr>
      </w:r>
      <w:r/>
    </w:p>
    <w:p>
      <w:pPr>
        <w:pStyle w:val="1030"/>
        <w:ind w:firstLine="600"/>
        <w:spacing w:line="360" w:lineRule="auto"/>
        <w:rPr>
          <w:rFonts w:hint="eastAsia" w:ascii="宋体" w:hAnsi="宋体" w:cs="宋体"/>
          <w:b/>
          <w:color w:val="000000"/>
          <w:szCs w:val="21"/>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shd w:val="clear" w:color="auto" w:fill="ffffff"/>
          <w:lang w:bidi="ar"/>
        </w:rPr>
        <w:t xml:space="preserve">http://zfcg.yangzhou.gov.cn/xzzx/art/2023/art_4d7de1f7865f4a2894fc22bc452f94d8.html。</w:t>
      </w:r>
      <w:r>
        <w:rPr>
          <w:rFonts w:hint="eastAsia" w:ascii="宋体" w:hAnsi="宋体" w:cs="宋体"/>
          <w:b/>
          <w:color w:val="000000"/>
          <w:szCs w:val="21"/>
          <w:shd w:val="clear" w:color="auto" w:fill="ffffff"/>
          <w:lang w:bidi="ar"/>
        </w:rPr>
      </w:r>
      <w:r/>
    </w:p>
    <w:p>
      <w:pPr>
        <w:pStyle w:val="1030"/>
        <w:ind w:firstLine="600"/>
        <w:spacing w:line="360" w:lineRule="auto"/>
        <w:rPr>
          <w:rFonts w:hint="eastAsia" w:ascii="宋体" w:hAnsi="宋体" w:cs="宋体"/>
          <w:b/>
          <w:color w:val="000000"/>
          <w:szCs w:val="21"/>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shd w:val="clear" w:color="auto" w:fill="ffffff"/>
          <w:lang w:bidi="ar"/>
        </w:rPr>
        <w:t xml:space="preserve">（4）潜在供应商访问“苏采云”系统的网络地址和方法：“苏采云”系统的网址：http://jszfcg.jsczt.cn/。</w:t>
      </w:r>
      <w:r>
        <w:rPr>
          <w:rFonts w:hint="eastAsia" w:ascii="宋体" w:hAnsi="宋体" w:cs="宋体"/>
          <w:b/>
          <w:color w:val="000000"/>
          <w:szCs w:val="21"/>
          <w:shd w:val="clear" w:color="auto" w:fill="ffffff"/>
          <w:lang w:bidi="ar"/>
        </w:rPr>
      </w:r>
      <w:r/>
    </w:p>
    <w:p>
      <w:pPr>
        <w:pStyle w:val="1030"/>
        <w:ind w:firstLine="600"/>
        <w:spacing w:line="360" w:lineRule="auto"/>
        <w:rPr>
          <w:rFonts w:hint="eastAsia" w:ascii="宋体" w:hAnsi="宋体" w:cs="宋体"/>
          <w:b/>
          <w:color w:val="000000"/>
          <w:szCs w:val="21"/>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shd w:val="clear" w:color="auto" w:fill="ffffff"/>
          <w:lang w:bidi="ar"/>
        </w:rPr>
        <w:t xml:space="preserve">（5）采购文件（后缀名为“.kedt”）、供应商操作手册及政府采购客户端工具也可通过“苏采云”系统--已报名项目--报名详情页面内相应链接进行下载。</w:t>
      </w:r>
      <w:r>
        <w:rPr>
          <w:rFonts w:hint="eastAsia" w:ascii="宋体" w:hAnsi="宋体" w:cs="宋体"/>
          <w:b/>
          <w:color w:val="000000"/>
          <w:szCs w:val="21"/>
          <w:shd w:val="clear" w:color="auto" w:fill="ffffff"/>
          <w:lang w:bidi="ar"/>
        </w:rPr>
      </w:r>
      <w:r/>
    </w:p>
    <w:p>
      <w:pPr>
        <w:pStyle w:val="1030"/>
        <w:ind w:firstLine="600"/>
        <w:spacing w:line="360" w:lineRule="auto"/>
        <w:rPr>
          <w:rFonts w:hint="eastAsia" w:ascii="宋体" w:hAnsi="宋体" w:cs="宋体"/>
          <w:b/>
          <w:color w:val="000000"/>
          <w:szCs w:val="21"/>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shd w:val="clear" w:color="auto" w:fill="ffffff"/>
          <w:lang w:bidi="ar"/>
        </w:rPr>
        <w:t xml:space="preserve">（6）招标代理机构（采购代理机构）将数据电文形式的采购文件加载至“苏采云”系统，供潜在供应商下载或者查阅。</w:t>
      </w:r>
      <w:r>
        <w:rPr>
          <w:rFonts w:hint="eastAsia" w:ascii="宋体" w:hAnsi="宋体" w:cs="宋体"/>
          <w:b/>
          <w:color w:val="000000"/>
          <w:szCs w:val="21"/>
          <w:shd w:val="clear" w:color="auto" w:fill="ffffff"/>
          <w:lang w:bidi="ar"/>
        </w:rPr>
      </w:r>
      <w:r/>
    </w:p>
    <w:p>
      <w:pPr>
        <w:pStyle w:val="1030"/>
        <w:ind w:firstLine="60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shd w:val="clear" w:color="auto" w:fill="ffffff"/>
          <w:lang w:bidi="ar"/>
        </w:rPr>
        <w:t xml:space="preserve">（7）苏采云系统使用谷歌浏览器参与不见面开标</w:t>
      </w:r>
      <w:r>
        <w:rPr>
          <w:rFonts w:hint="eastAsia" w:ascii="宋体" w:hAnsi="宋体"/>
          <w:b/>
          <w:bCs/>
          <w:szCs w:val="21"/>
        </w:rPr>
        <w:t xml:space="preserve">。</w:t>
      </w:r>
      <w:r>
        <w:rPr>
          <w:rFonts w:ascii="宋体" w:hAnsi="宋体"/>
          <w:bCs/>
          <w:sz w:val="24"/>
          <w:szCs w:val="24"/>
        </w:rPr>
      </w:r>
      <w:r/>
    </w:p>
    <w:p>
      <w:pPr>
        <w:pStyle w:val="1030"/>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1"/>
      <w:r/>
      <w:bookmarkEnd w:id="12"/>
      <w:r>
        <w:rPr>
          <w:rFonts w:hint="eastAsia" w:ascii="宋体" w:hAnsi="宋体" w:cs="宋体"/>
          <w:b/>
          <w:bCs/>
        </w:rPr>
        <w:t xml:space="preserve">截止时间、开标时间和地点</w:t>
      </w:r>
      <w:bookmarkEnd w:id="13"/>
      <w:r/>
      <w:bookmarkEnd w:id="14"/>
      <w:r/>
      <w:bookmarkEnd w:id="15"/>
      <w:r>
        <w:rPr>
          <w:rFonts w:ascii="宋体" w:hAnsi="宋体" w:cs="宋体"/>
          <w:b/>
          <w:bCs/>
        </w:rPr>
      </w:r>
      <w:r/>
    </w:p>
    <w:p>
      <w:pPr>
        <w:pStyle w:val="1030"/>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szCs w:val="21"/>
          <w:u w:val="single"/>
        </w:rPr>
        <w:t xml:space="preserve">2025年11月</w:t>
      </w:r>
      <w:r>
        <w:rPr>
          <w:rFonts w:hint="eastAsia" w:ascii="宋体" w:hAnsi="宋体" w:cs="宋体"/>
          <w:szCs w:val="21"/>
          <w:u w:val="single"/>
          <w:lang w:val="en-US" w:eastAsia="zh-CN"/>
        </w:rPr>
        <w:t xml:space="preserve">25</w:t>
      </w:r>
      <w:r>
        <w:rPr>
          <w:rFonts w:hint="eastAsia" w:ascii="宋体" w:hAnsi="宋体" w:cs="宋体"/>
          <w:szCs w:val="21"/>
          <w:u w:val="single"/>
        </w:rPr>
        <w:t xml:space="preserve">日</w:t>
      </w:r>
      <w:r>
        <w:rPr>
          <w:rFonts w:hint="eastAsia" w:ascii="宋体" w:hAnsi="宋体" w:cs="宋体"/>
          <w:bCs/>
          <w:szCs w:val="21"/>
          <w:u w:val="single"/>
        </w:rPr>
        <w:t xml:space="preserve">9点30分</w:t>
      </w:r>
      <w:r>
        <w:rPr>
          <w:rFonts w:hint="eastAsia" w:ascii="宋体" w:hAnsi="宋体" w:cs="宋体"/>
          <w:bCs/>
        </w:rPr>
        <w:t xml:space="preserve">（北京时间）</w:t>
      </w:r>
      <w:r>
        <w:rPr>
          <w:rFonts w:ascii="宋体" w:hAnsi="宋体" w:cs="宋体"/>
          <w:bCs/>
          <w:szCs w:val="21"/>
          <w:u w:val="single"/>
        </w:rPr>
      </w:r>
      <w:r/>
    </w:p>
    <w:p>
      <w:pPr>
        <w:pStyle w:val="1030"/>
        <w:ind w:firstLine="420"/>
        <w:spacing w:line="360" w:lineRule="auto"/>
        <w:rPr>
          <w:rFonts w:hint="eastAsia"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rPr>
          <w:rFonts w:hint="eastAsia" w:ascii="宋体" w:hAnsi="宋体"/>
          <w:b/>
          <w:szCs w:val="21"/>
        </w:rPr>
        <w:fldChar w:fldCharType="begin"/>
      </w:r>
      <w:r>
        <w:rPr>
          <w:rFonts w:hint="eastAsia" w:ascii="宋体" w:hAnsi="宋体"/>
          <w:b/>
          <w:szCs w:val="21"/>
        </w:rPr>
        <w:instrText xml:space="preserve"> HYPERLINK "http://jszfcg.jsczt.cn/）\“开标大厅\”" </w:instrText>
      </w:r>
      <w:r>
        <w:rPr>
          <w:rFonts w:hint="eastAsia" w:ascii="宋体" w:hAnsi="宋体"/>
          <w:b/>
          <w:szCs w:val="21"/>
        </w:rPr>
        <w:fldChar w:fldCharType="separate"/>
      </w:r>
      <w:r>
        <w:rPr>
          <w:rFonts w:hint="eastAsia" w:ascii="宋体" w:hAnsi="宋体"/>
          <w:b/>
          <w:szCs w:val="21"/>
        </w:rPr>
        <w:t xml:space="preserve">http://jszfcg.jsczt.cn/）“开标大厅”</w:t>
      </w:r>
      <w:r>
        <w:rPr>
          <w:rFonts w:hint="eastAsia" w:ascii="宋体" w:hAnsi="宋体"/>
          <w:b/>
          <w:szCs w:val="21"/>
        </w:rPr>
        <w:fldChar w:fldCharType="end"/>
      </w:r>
      <w:r>
        <w:rPr>
          <w:rFonts w:hint="eastAsia" w:ascii="宋体" w:hAnsi="宋体"/>
          <w:b/>
          <w:szCs w:val="21"/>
        </w:rPr>
      </w:r>
      <w:r/>
    </w:p>
    <w:p>
      <w:pPr>
        <w:pStyle w:val="1030"/>
        <w:spacing w:line="360" w:lineRule="auto"/>
        <w:tabs>
          <w:tab w:val="left" w:pos="266" w:leader="none"/>
        </w:tabs>
        <w:rPr>
          <w:rFonts w:ascii="宋体" w:hAnsi="宋体" w:cs="宋体"/>
          <w:b/>
          <w:bCs/>
        </w:rPr>
      </w:pPr>
      <w:r/>
      <w:bookmarkStart w:id="16" w:name="_Toc28359084"/>
      <w:r/>
      <w:bookmarkStart w:id="17" w:name="_Toc38985267"/>
      <w:r/>
      <w:bookmarkStart w:id="18" w:name="_Toc35393794"/>
      <w:r/>
      <w:bookmarkStart w:id="19" w:name="_Toc35393625"/>
      <w:r/>
      <w:bookmarkStart w:id="20" w:name="_Toc28359007"/>
      <w:r>
        <w:rPr>
          <w:rFonts w:hint="eastAsia" w:ascii="宋体" w:hAnsi="宋体" w:cs="宋体"/>
          <w:b/>
          <w:bCs/>
        </w:rPr>
        <w:t xml:space="preserve">五、公告期限</w:t>
      </w:r>
      <w:bookmarkEnd w:id="16"/>
      <w:r/>
      <w:bookmarkEnd w:id="17"/>
      <w:r/>
      <w:bookmarkEnd w:id="18"/>
      <w:r/>
      <w:bookmarkEnd w:id="19"/>
      <w:r/>
      <w:bookmarkEnd w:id="20"/>
      <w:r>
        <w:rPr>
          <w:rFonts w:ascii="宋体" w:hAnsi="宋体" w:cs="宋体"/>
          <w:b/>
          <w:bCs/>
        </w:rPr>
      </w:r>
      <w:r/>
    </w:p>
    <w:p>
      <w:pPr>
        <w:pStyle w:val="1030"/>
        <w:ind w:firstLine="420"/>
        <w:spacing w:line="360" w:lineRule="auto"/>
        <w:rPr>
          <w:rFonts w:ascii="宋体" w:hAnsi="宋体" w:cs="宋体"/>
        </w:rPr>
      </w:pPr>
      <w:r/>
      <w:bookmarkStart w:id="21" w:name="_Toc38985268"/>
      <w:r/>
      <w:bookmarkStart w:id="22" w:name="_Toc35393795"/>
      <w:r/>
      <w:bookmarkStart w:id="23" w:name="_Toc35393626"/>
      <w:r>
        <w:rPr>
          <w:rFonts w:hint="eastAsia" w:ascii="宋体" w:hAnsi="宋体" w:cs="宋体"/>
        </w:rPr>
        <w:t xml:space="preserve">招标公告及招标文件公告期限为自本公告发布之日起5个工作日。</w:t>
      </w:r>
      <w:r>
        <w:rPr>
          <w:rFonts w:ascii="宋体" w:hAnsi="宋体" w:cs="宋体"/>
        </w:rPr>
      </w:r>
      <w:r/>
    </w:p>
    <w:p>
      <w:pPr>
        <w:pStyle w:val="1030"/>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1"/>
      <w:r/>
      <w:bookmarkEnd w:id="22"/>
      <w:r/>
      <w:bookmarkEnd w:id="23"/>
      <w:r>
        <w:rPr>
          <w:rFonts w:ascii="宋体" w:hAnsi="宋体" w:cs="宋体"/>
          <w:b/>
          <w:bCs/>
        </w:rPr>
      </w:r>
      <w:r/>
    </w:p>
    <w:p>
      <w:pPr>
        <w:pStyle w:val="1030"/>
        <w:ind w:firstLine="422"/>
        <w:spacing w:line="360" w:lineRule="auto"/>
        <w:rPr>
          <w:rFonts w:hint="eastAsia" w:ascii="宋体" w:hAnsi="宋体" w:cs="宋体"/>
          <w:b/>
          <w:bCs/>
        </w:rPr>
      </w:pPr>
      <w:r>
        <w:rPr>
          <w:rFonts w:hint="eastAsia" w:ascii="宋体" w:hAnsi="宋体" w:cs="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b/>
          <w:bCs/>
        </w:rPr>
      </w:r>
      <w:r/>
    </w:p>
    <w:p>
      <w:pPr>
        <w:pStyle w:val="1030"/>
        <w:ind w:firstLine="422"/>
        <w:spacing w:line="360" w:lineRule="auto"/>
        <w:rPr>
          <w:rFonts w:hint="eastAsia" w:ascii="宋体" w:hAnsi="宋体" w:cs="宋体"/>
          <w:b/>
          <w:bCs/>
        </w:rPr>
      </w:pPr>
      <w:r>
        <w:rPr>
          <w:rFonts w:hint="eastAsia" w:ascii="宋体" w:hAnsi="宋体" w:cs="宋体"/>
          <w:b/>
          <w:bCs/>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b/>
          <w:bCs/>
        </w:rPr>
      </w:r>
      <w:r/>
    </w:p>
    <w:p>
      <w:pPr>
        <w:pStyle w:val="1030"/>
        <w:ind w:firstLine="422"/>
        <w:jc w:val="left"/>
        <w:spacing w:line="360" w:lineRule="auto"/>
        <w:widowControl/>
        <w:rPr>
          <w:rFonts w:hint="eastAsia" w:ascii="宋体" w:hAnsi="宋体" w:cs="宋体"/>
          <w:b/>
        </w:rPr>
      </w:pPr>
      <w:r>
        <w:rPr>
          <w:rFonts w:hint="eastAsia" w:ascii="宋体" w:hAnsi="宋体" w:cs="宋体"/>
          <w:b/>
        </w:rPr>
        <w:t xml:space="preserve">3.潜在投标人对采购文件项目需求部分的询问、质疑请向采购人提出，由采购人负责答复。</w:t>
      </w:r>
      <w:r>
        <w:rPr>
          <w:rFonts w:hint="eastAsia" w:ascii="宋体" w:hAnsi="宋体" w:cs="宋体"/>
          <w:b/>
        </w:rPr>
      </w:r>
      <w:r/>
    </w:p>
    <w:p>
      <w:pPr>
        <w:pStyle w:val="1030"/>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cs="宋体"/>
        </w:rPr>
        <w:t xml:space="preserve">本次采购</w:t>
      </w:r>
      <w:r>
        <w:rPr>
          <w:rFonts w:hint="eastAsia" w:ascii="宋体" w:hAnsi="宋体" w:cs="宋体"/>
          <w:b/>
          <w:bCs/>
          <w:szCs w:val="21"/>
          <w:u w:val="single"/>
        </w:rPr>
        <w:t xml:space="preserve">不收取</w:t>
      </w:r>
      <w:r>
        <w:rPr>
          <w:rFonts w:hint="eastAsia" w:ascii="宋体" w:hAnsi="宋体" w:cs="宋体"/>
          <w:szCs w:val="21"/>
        </w:rPr>
        <w:t xml:space="preserve">投标保证金；</w:t>
      </w:r>
      <w:r>
        <w:rPr>
          <w:rFonts w:hint="eastAsia" w:ascii="宋体" w:hAnsi="宋体" w:cs="宋体"/>
          <w:b/>
          <w:bCs/>
          <w:szCs w:val="21"/>
          <w:u w:val="single"/>
        </w:rPr>
        <w:t xml:space="preserve">不收取</w:t>
      </w:r>
      <w:r>
        <w:rPr>
          <w:rFonts w:hint="eastAsia" w:ascii="宋体" w:hAnsi="宋体" w:cs="宋体"/>
          <w:szCs w:val="21"/>
        </w:rPr>
        <w:t xml:space="preserve">履约保证金。</w:t>
      </w:r>
      <w:r>
        <w:rPr>
          <w:rFonts w:hint="eastAsia" w:ascii="宋体" w:hAnsi="宋体" w:cs="宋体"/>
          <w:bCs/>
        </w:rPr>
      </w:r>
      <w:r/>
    </w:p>
    <w:p>
      <w:pPr>
        <w:pStyle w:val="1030"/>
        <w:ind w:firstLine="420"/>
        <w:spacing w:line="360" w:lineRule="auto"/>
        <w:rPr>
          <w:rFonts w:hint="eastAsia" w:ascii="宋体" w:hAnsi="宋体" w:cs="宋体"/>
          <w:bCs/>
        </w:rPr>
      </w:pPr>
      <w:r>
        <w:rPr>
          <w:rFonts w:hint="eastAsia" w:ascii="宋体" w:hAnsi="宋体" w:cs="宋体"/>
          <w:szCs w:val="21"/>
        </w:rPr>
        <w:t xml:space="preserve">5.</w:t>
      </w:r>
      <w:r>
        <w:rPr>
          <w:rFonts w:hint="eastAsia" w:ascii="宋体" w:hAnsi="宋体" w:cs="宋体"/>
          <w:bCs/>
        </w:rPr>
        <w:t xml:space="preserve">有关本次采购的事项若存在变动或修改，敬请及时关注“江苏省政府采购网”、“扬州市政府采购网”、“扬州市广陵区政府采购网”发布的信息。</w:t>
      </w:r>
      <w:r>
        <w:rPr>
          <w:rFonts w:hint="eastAsia" w:ascii="宋体" w:hAnsi="宋体" w:cs="宋体"/>
          <w:bCs/>
        </w:rPr>
      </w:r>
      <w:r/>
    </w:p>
    <w:p>
      <w:pPr>
        <w:pStyle w:val="1030"/>
        <w:ind w:firstLine="422"/>
        <w:spacing w:line="360" w:lineRule="auto"/>
        <w:rPr>
          <w:rFonts w:hint="eastAsia" w:ascii="宋体" w:hAnsi="宋体" w:cs="宋体"/>
          <w:b/>
          <w:i/>
          <w:iCs/>
          <w:u w:val="single"/>
        </w:rPr>
      </w:pPr>
      <w:r>
        <w:rPr>
          <w:rFonts w:hint="eastAsia" w:ascii="宋体" w:hAnsi="宋体" w:cs="宋体"/>
          <w:b/>
          <w:i/>
          <w:iCs/>
          <w:u w:val="single"/>
        </w:rPr>
        <w:t xml:space="preserve">6.本项目采购文件中所有斜体下划线部分为实质性条款，如不满足，则为无效投标。</w:t>
      </w:r>
      <w:r>
        <w:rPr>
          <w:rFonts w:hint="eastAsia" w:ascii="宋体" w:hAnsi="宋体" w:cs="宋体"/>
          <w:b/>
          <w:i/>
          <w:iCs/>
          <w:u w:val="single"/>
        </w:rPr>
      </w:r>
      <w:r/>
    </w:p>
    <w:p>
      <w:pPr>
        <w:pStyle w:val="1030"/>
        <w:ind w:firstLine="420"/>
        <w:spacing w:line="360" w:lineRule="auto"/>
        <w:rPr>
          <w:rFonts w:hint="eastAsia" w:ascii="宋体" w:hAnsi="宋体"/>
          <w:szCs w:val="21"/>
        </w:rPr>
      </w:pPr>
      <w:r>
        <w:rPr>
          <w:rFonts w:hint="eastAsia" w:ascii="宋体" w:hAnsi="宋体"/>
          <w:bCs/>
          <w:i/>
          <w:iCs/>
          <w:szCs w:val="21"/>
          <w:u w:val="single"/>
        </w:rPr>
        <w:t xml:space="preserve">7</w:t>
      </w:r>
      <w:r>
        <w:rPr>
          <w:rFonts w:ascii="宋体" w:hAnsi="宋体"/>
          <w:bCs/>
          <w:i/>
          <w:iCs/>
          <w:szCs w:val="21"/>
          <w:u w:val="single"/>
        </w:rPr>
        <w:t xml:space="preserve">.</w:t>
      </w:r>
      <w:r>
        <w:rPr>
          <w:rFonts w:hint="eastAsia" w:ascii="宋体" w:hAnsi="宋体"/>
          <w:bCs/>
          <w:i/>
          <w:iCs/>
          <w:szCs w:val="21"/>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rPr>
          <w:rFonts w:hint="eastAsia" w:ascii="宋体" w:hAnsi="宋体"/>
          <w:szCs w:val="21"/>
        </w:rPr>
      </w:r>
      <w:r/>
    </w:p>
    <w:p>
      <w:pPr>
        <w:pStyle w:val="1030"/>
        <w:spacing w:line="360" w:lineRule="auto"/>
        <w:rPr>
          <w:rFonts w:hint="eastAsia" w:ascii="宋体" w:hAnsi="宋体" w:cs="宋体"/>
          <w:b/>
          <w:bCs/>
          <w:szCs w:val="21"/>
        </w:rPr>
      </w:pPr>
      <w:r/>
      <w:bookmarkStart w:id="24" w:name="_Toc28359085"/>
      <w:r/>
      <w:bookmarkStart w:id="25" w:name="_Toc28359008"/>
      <w:r/>
      <w:bookmarkStart w:id="26" w:name="_Toc35393627"/>
      <w:r/>
      <w:bookmarkStart w:id="27" w:name="_Toc35393796"/>
      <w:r>
        <w:rPr>
          <w:rFonts w:hint="eastAsia" w:ascii="宋体" w:hAnsi="宋体" w:cs="宋体"/>
          <w:b/>
          <w:bCs/>
          <w:szCs w:val="21"/>
        </w:rPr>
        <w:t xml:space="preserve">七、对本次招标提出询问，请按以下方式联系。</w:t>
      </w:r>
      <w:bookmarkEnd w:id="24"/>
      <w:r/>
      <w:bookmarkEnd w:id="25"/>
      <w:r/>
      <w:bookmarkEnd w:id="26"/>
      <w:r/>
      <w:bookmarkEnd w:id="27"/>
      <w:r>
        <w:rPr>
          <w:rFonts w:hint="eastAsia" w:ascii="宋体" w:hAnsi="宋体" w:cs="宋体"/>
          <w:b/>
          <w:bCs/>
          <w:szCs w:val="21"/>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1030"/>
        <w:ind w:firstLine="420"/>
        <w:spacing w:line="360" w:lineRule="auto"/>
        <w:rPr>
          <w:rFonts w:hint="eastAsia" w:ascii="宋体" w:hAnsi="宋体" w:cs="宋体"/>
          <w:szCs w:val="21"/>
        </w:rPr>
      </w:pPr>
      <w:r/>
      <w:bookmarkStart w:id="28" w:name="_Toc28359009"/>
      <w:r/>
      <w:bookmarkStart w:id="29" w:name="_Toc28359086"/>
      <w:r>
        <w:rPr>
          <w:rFonts w:hint="eastAsia" w:ascii="宋体" w:hAnsi="宋体" w:cs="宋体"/>
          <w:szCs w:val="21"/>
        </w:rPr>
        <w:t xml:space="preserve">名    称：扬州市广陵区机关事务管理局</w:t>
      </w:r>
      <w:r>
        <w:rPr>
          <w:rFonts w:hint="eastAsia" w:ascii="宋体" w:hAnsi="宋体" w:cs="宋体"/>
          <w:szCs w:val="21"/>
        </w:rPr>
      </w:r>
      <w:r/>
    </w:p>
    <w:p>
      <w:pPr>
        <w:pStyle w:val="1030"/>
        <w:ind w:firstLine="420"/>
        <w:spacing w:line="360" w:lineRule="auto"/>
        <w:rPr>
          <w:rFonts w:hint="eastAsia" w:ascii="宋体" w:hAnsi="宋体" w:cs="宋体"/>
          <w:szCs w:val="21"/>
        </w:rPr>
      </w:pPr>
      <w:r>
        <w:rPr>
          <w:rFonts w:hint="eastAsia" w:ascii="宋体" w:hAnsi="宋体" w:cs="宋体"/>
          <w:szCs w:val="21"/>
          <w:lang w:bidi="ar"/>
        </w:rPr>
        <w:t xml:space="preserve">地    址：扬州市文昌中路548号</w:t>
      </w:r>
      <w:r>
        <w:rPr>
          <w:rFonts w:hint="eastAsia" w:ascii="宋体" w:hAnsi="宋体" w:cs="宋体"/>
          <w:szCs w:val="21"/>
        </w:rPr>
      </w:r>
      <w:r/>
    </w:p>
    <w:p>
      <w:pPr>
        <w:pStyle w:val="1030"/>
        <w:ind w:firstLine="420"/>
        <w:spacing w:line="360" w:lineRule="auto"/>
        <w:rPr>
          <w:rFonts w:hint="eastAsia" w:ascii="宋体" w:hAnsi="宋体" w:cs="宋体"/>
          <w:szCs w:val="21"/>
          <w:lang w:bidi="ar"/>
        </w:rPr>
      </w:pPr>
      <w:r>
        <w:rPr>
          <w:rFonts w:hint="eastAsia" w:ascii="宋体" w:hAnsi="宋体" w:cs="宋体"/>
          <w:szCs w:val="21"/>
          <w:lang w:bidi="ar"/>
        </w:rPr>
        <w:t xml:space="preserve">联 系 人：李先生</w:t>
      </w:r>
      <w:r>
        <w:rPr>
          <w:rFonts w:hint="eastAsia" w:ascii="宋体" w:hAnsi="宋体" w:cs="宋体"/>
          <w:szCs w:val="21"/>
          <w:lang w:bidi="ar"/>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联系电话：0514-87346552 </w:t>
      </w:r>
      <w:r>
        <w:rPr>
          <w:rFonts w:hint="eastAsia" w:ascii="宋体" w:hAnsi="宋体" w:cs="宋体"/>
          <w:szCs w:val="21"/>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2.采购代理机构信息</w:t>
      </w:r>
      <w:bookmarkEnd w:id="28"/>
      <w:r/>
      <w:bookmarkEnd w:id="29"/>
      <w:r>
        <w:rPr>
          <w:rFonts w:hint="eastAsia" w:ascii="宋体" w:hAnsi="宋体" w:cs="宋体"/>
          <w:szCs w:val="21"/>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名    称：江苏时代投资咨询有限公司</w:t>
      </w:r>
      <w:r>
        <w:rPr>
          <w:rFonts w:hint="eastAsia" w:ascii="宋体" w:hAnsi="宋体" w:cs="宋体"/>
          <w:szCs w:val="21"/>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地    址：扬州市汶河北路65号二楼</w:t>
      </w:r>
      <w:r>
        <w:rPr>
          <w:rFonts w:hint="eastAsia" w:ascii="宋体" w:hAnsi="宋体" w:cs="宋体"/>
          <w:szCs w:val="21"/>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联 系 人：杨小新</w:t>
      </w:r>
      <w:r>
        <w:rPr>
          <w:rFonts w:hint="eastAsia" w:ascii="宋体" w:hAnsi="宋体" w:cs="宋体"/>
          <w:szCs w:val="21"/>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联系电话：18652798268</w:t>
      </w:r>
      <w:r>
        <w:rPr>
          <w:rFonts w:hint="eastAsia" w:ascii="宋体" w:hAnsi="宋体" w:cs="宋体"/>
          <w:szCs w:val="21"/>
        </w:rPr>
      </w:r>
      <w:r/>
    </w:p>
    <w:p>
      <w:pPr>
        <w:pStyle w:val="1030"/>
        <w:ind w:firstLine="420"/>
        <w:spacing w:line="360" w:lineRule="auto"/>
        <w:rPr>
          <w:rFonts w:hint="eastAsia" w:ascii="宋体" w:hAnsi="宋体" w:cs="宋体"/>
          <w:szCs w:val="21"/>
        </w:rPr>
      </w:pPr>
      <w:r/>
      <w:bookmarkStart w:id="30" w:name="_Toc28359025"/>
      <w:r/>
      <w:bookmarkStart w:id="31" w:name="_Toc28359102"/>
      <w:r/>
      <w:bookmarkStart w:id="32" w:name="_Toc35393643"/>
      <w:r/>
      <w:bookmarkStart w:id="33" w:name="_Toc35393812"/>
      <w:r>
        <w:rPr>
          <w:rFonts w:hint="eastAsia" w:ascii="宋体" w:hAnsi="宋体" w:cs="宋体"/>
          <w:szCs w:val="21"/>
        </w:rPr>
        <w:t xml:space="preserve">3.项目联系方式</w:t>
      </w:r>
      <w:bookmarkEnd w:id="30"/>
      <w:r/>
      <w:bookmarkEnd w:id="31"/>
      <w:r/>
      <w:bookmarkEnd w:id="32"/>
      <w:r/>
      <w:bookmarkEnd w:id="33"/>
      <w:r>
        <w:rPr>
          <w:rFonts w:hint="eastAsia" w:ascii="宋体" w:hAnsi="宋体" w:cs="宋体"/>
          <w:szCs w:val="21"/>
        </w:rPr>
      </w:r>
      <w:r/>
    </w:p>
    <w:p>
      <w:pPr>
        <w:pStyle w:val="1030"/>
        <w:ind w:firstLine="420"/>
        <w:spacing w:line="360" w:lineRule="auto"/>
        <w:rPr>
          <w:rFonts w:hint="eastAsia" w:ascii="宋体" w:hAnsi="宋体" w:cs="宋体"/>
          <w:szCs w:val="21"/>
        </w:rPr>
      </w:pPr>
      <w:r>
        <w:rPr>
          <w:rFonts w:hint="eastAsia" w:ascii="宋体" w:hAnsi="宋体" w:cs="宋体"/>
          <w:szCs w:val="21"/>
        </w:rPr>
        <w:t xml:space="preserve">项目联系人：朱婧</w:t>
      </w:r>
      <w:r>
        <w:rPr>
          <w:rFonts w:hint="eastAsia" w:ascii="宋体" w:hAnsi="宋体" w:cs="宋体"/>
          <w:szCs w:val="21"/>
        </w:rPr>
      </w:r>
      <w:r/>
    </w:p>
    <w:p>
      <w:pPr>
        <w:pStyle w:val="1030"/>
        <w:ind w:firstLine="420"/>
        <w:spacing w:line="360" w:lineRule="auto"/>
        <w:rPr>
          <w:rFonts w:ascii="宋体" w:hAnsi="宋体" w:cs="宋体"/>
          <w:szCs w:val="21"/>
        </w:rPr>
      </w:pPr>
      <w:r>
        <w:rPr>
          <w:rFonts w:hint="eastAsia" w:ascii="宋体" w:hAnsi="宋体" w:cs="宋体"/>
          <w:szCs w:val="21"/>
        </w:rPr>
        <w:t xml:space="preserve">联系电话：18851448022</w:t>
      </w:r>
      <w:r>
        <w:rPr>
          <w:rFonts w:ascii="宋体" w:hAnsi="宋体" w:cs="宋体"/>
          <w:szCs w:val="21"/>
        </w:rPr>
      </w:r>
      <w:r/>
    </w:p>
    <w:p>
      <w:pPr>
        <w:pStyle w:val="1030"/>
        <w:numPr>
          <w:ilvl w:val="0"/>
          <w:numId w:val="6"/>
        </w:numPr>
        <w:spacing w:line="360" w:lineRule="auto"/>
        <w:tabs>
          <w:tab w:val="left" w:pos="266" w:leader="none"/>
        </w:tabs>
        <w:rPr>
          <w:rFonts w:hint="eastAsia"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1"/>
      <w:r/>
      <w:bookmarkStart w:id="34" w:name="_Toc497133091"/>
      <w:r/>
      <w:bookmarkStart w:id="35" w:name="_Toc497133092"/>
      <w:r>
        <w:rPr>
          <w:rFonts w:hint="eastAsia" w:ascii="宋体" w:hAnsi="宋体" w:cs="宋体"/>
          <w:b/>
          <w:bCs/>
        </w:rPr>
      </w:r>
      <w:r/>
    </w:p>
    <w:p>
      <w:pPr>
        <w:pStyle w:val="1188"/>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w:t>
      </w:r>
      <w:r>
        <w:rPr>
          <w:rFonts w:ascii="宋体" w:hAnsi="宋体" w:cs="宋体"/>
          <w:b/>
          <w:bCs/>
          <w:color w:val="000000"/>
          <w:szCs w:val="21"/>
        </w:rPr>
        <w:t xml:space="preserve">落实好政府采购履约资金扶持政策。中标/成交供应商可凭政府采购合同办理融资贷款，详见江苏政府采购网“政采贷”专栏。”</w:t>
      </w:r>
      <w:r>
        <w:rPr>
          <w:rFonts w:ascii="宋体" w:hAnsi="宋体" w:cs="宋体"/>
          <w:b/>
          <w:bCs/>
          <w:color w:val="000000"/>
          <w:szCs w:val="21"/>
        </w:rPr>
      </w:r>
      <w:r/>
    </w:p>
    <w:p>
      <w:pPr>
        <w:pStyle w:val="1188"/>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ascii="宋体" w:hAnsi="宋体" w:cs="宋体"/>
          <w:b/>
          <w:bCs/>
          <w:color w:val="000000"/>
          <w:szCs w:val="21"/>
        </w:rPr>
        <w:t xml:space="preserve">严格执行政府采购关于支持</w:t>
      </w:r>
      <w:r>
        <w:rPr>
          <w:rFonts w:ascii="宋体" w:hAnsi="宋体" w:cs="宋体"/>
          <w:b/>
          <w:bCs/>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
          <w:bCs/>
          <w:color w:val="000000"/>
          <w:szCs w:val="21"/>
        </w:rPr>
      </w:r>
      <w:r/>
    </w:p>
    <w:p>
      <w:pPr>
        <w:pStyle w:val="1188"/>
        <w:ind w:firstLine="422"/>
        <w:spacing w:line="360" w:lineRule="auto"/>
        <w:rPr>
          <w:rFonts w:ascii="宋体" w:hAnsi="宋体" w:cs="宋体"/>
          <w:b/>
          <w:bCs/>
          <w:color w:val="000000"/>
          <w:szCs w:val="21"/>
        </w:rPr>
      </w:pPr>
      <w:r>
        <w:rPr>
          <w:rFonts w:hint="eastAsia" w:ascii="宋体" w:hAnsi="宋体" w:cs="宋体"/>
          <w:b/>
          <w:bCs/>
          <w:color w:val="000000"/>
          <w:szCs w:val="21"/>
        </w:rPr>
        <w:t xml:space="preserve">3.投标人/供应商对于投标产品的包装应按照“财办库〔2020〕123号《关于印发《商品包装政府采购需求标准（试行）》、《快递包装政府采购需求标准（试行）》的通知》”执行。</w:t>
      </w:r>
      <w:r>
        <w:rPr>
          <w:rFonts w:ascii="宋体" w:hAnsi="宋体" w:cs="宋体"/>
          <w:b/>
          <w:bCs/>
          <w:color w:val="000000"/>
          <w:szCs w:val="21"/>
        </w:rPr>
      </w:r>
      <w:r/>
    </w:p>
    <w:p>
      <w:pPr>
        <w:pStyle w:val="1188"/>
        <w:ind w:firstLine="422"/>
        <w:spacing w:line="360" w:lineRule="auto"/>
        <w:rPr>
          <w:rFonts w:ascii="宋体" w:hAnsi="宋体" w:cs="宋体"/>
          <w:b/>
          <w:bCs/>
          <w:color w:val="000000"/>
          <w:szCs w:val="21"/>
        </w:rPr>
      </w:pPr>
      <w:r>
        <w:rPr>
          <w:rFonts w:ascii="宋体" w:hAnsi="宋体" w:cs="宋体"/>
          <w:b/>
          <w:bCs/>
          <w:color w:val="000000"/>
          <w:szCs w:val="21"/>
        </w:rPr>
      </w:r>
      <w:r/>
    </w:p>
    <w:p>
      <w:pPr>
        <w:pStyle w:val="1030"/>
        <w:jc w:val="right"/>
        <w:spacing w:line="360" w:lineRule="auto"/>
        <w:rPr>
          <w:rFonts w:hint="eastAsia" w:ascii="宋体" w:hAnsi="宋体" w:cs="宋体"/>
          <w:szCs w:val="21"/>
        </w:rPr>
      </w:pPr>
      <w:r>
        <w:rPr>
          <w:rFonts w:hint="eastAsia" w:ascii="宋体" w:hAnsi="宋体" w:cs="宋体"/>
          <w:szCs w:val="21"/>
        </w:rPr>
        <w:t xml:space="preserve">江苏时代投资咨询有限公司</w:t>
      </w:r>
      <w:r>
        <w:rPr>
          <w:rFonts w:hint="eastAsia" w:ascii="宋体" w:hAnsi="宋体" w:cs="宋体"/>
          <w:szCs w:val="21"/>
        </w:rPr>
      </w:r>
      <w:r/>
    </w:p>
    <w:p>
      <w:pPr>
        <w:pStyle w:val="1030"/>
        <w:jc w:val="right"/>
        <w:spacing w:line="360" w:lineRule="auto"/>
        <w:rPr>
          <w:rFonts w:hint="eastAsia" w:ascii="宋体" w:hAnsi="宋体" w:cs="宋体"/>
          <w:szCs w:val="21"/>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Cs w:val="21"/>
        </w:rPr>
        <w:t xml:space="preserve">2025年1</w:t>
      </w:r>
      <w:r>
        <w:rPr>
          <w:rFonts w:hint="eastAsia" w:ascii="宋体" w:hAnsi="宋体" w:cs="宋体"/>
          <w:szCs w:val="21"/>
          <w:lang w:val="en-US" w:eastAsia="zh-CN"/>
        </w:rPr>
        <w:t xml:space="preserve">1</w:t>
      </w:r>
      <w:r>
        <w:rPr>
          <w:rFonts w:hint="eastAsia" w:ascii="宋体" w:hAnsi="宋体" w:cs="宋体"/>
          <w:szCs w:val="21"/>
        </w:rPr>
        <w:t xml:space="preserve">月</w:t>
      </w:r>
      <w:r>
        <w:rPr>
          <w:rFonts w:hint="eastAsia" w:ascii="宋体" w:hAnsi="宋体" w:cs="宋体"/>
          <w:szCs w:val="21"/>
          <w:lang w:val="en-US" w:eastAsia="zh-CN"/>
        </w:rPr>
        <w:t xml:space="preserve">4</w:t>
      </w:r>
      <w:r>
        <w:rPr>
          <w:rFonts w:hint="eastAsia" w:ascii="宋体" w:hAnsi="宋体" w:cs="宋体"/>
          <w:szCs w:val="21"/>
        </w:rPr>
        <w:t xml:space="preserve">日</w:t>
      </w:r>
      <w:r>
        <w:rPr>
          <w:rFonts w:hint="eastAsia" w:ascii="宋体" w:hAnsi="宋体" w:cs="宋体"/>
          <w:szCs w:val="21"/>
        </w:rPr>
      </w:r>
      <w:r/>
    </w:p>
    <w:p>
      <w:pPr>
        <w:pStyle w:val="1030"/>
        <w:jc w:val="center"/>
        <w:spacing w:line="360" w:lineRule="auto"/>
        <w:tabs>
          <w:tab w:val="left" w:pos="266" w:leader="none"/>
        </w:tabs>
        <w:rPr>
          <w:rFonts w:hint="eastAsia" w:ascii="宋体" w:hAnsi="宋体"/>
          <w:sz w:val="36"/>
        </w:rPr>
      </w:pPr>
      <w:r>
        <w:rPr>
          <w:rFonts w:hint="eastAsia" w:ascii="宋体" w:hAnsi="宋体"/>
          <w:b/>
          <w:bCs/>
          <w:sz w:val="36"/>
          <w:szCs w:val="44"/>
        </w:rPr>
        <w:t xml:space="preserve">第二章 投标人须知</w:t>
      </w:r>
      <w:bookmarkEnd w:id="34"/>
      <w:r>
        <w:rPr>
          <w:rFonts w:hint="eastAsia" w:ascii="宋体" w:hAnsi="宋体"/>
          <w:sz w:val="36"/>
        </w:rPr>
      </w:r>
      <w:r/>
    </w:p>
    <w:p>
      <w:pPr>
        <w:pStyle w:val="1034"/>
        <w:ind w:firstLine="422"/>
        <w:spacing w:before="0" w:after="0" w:line="360" w:lineRule="auto"/>
        <w:rPr>
          <w:rFonts w:ascii="宋体" w:hAnsi="宋体" w:eastAsia="宋体"/>
          <w:bCs w:val="0"/>
          <w:sz w:val="21"/>
          <w:szCs w:val="21"/>
        </w:rPr>
      </w:pPr>
      <w:r/>
      <w:bookmarkStart w:id="36" w:name="_Toc458694821"/>
      <w:r/>
      <w:bookmarkStart w:id="37" w:name="_Toc16938520"/>
      <w:r/>
      <w:bookmarkStart w:id="38" w:name="_Toc513029204"/>
      <w:r/>
      <w:bookmarkStart w:id="39" w:name="_Toc20823276"/>
      <w:r>
        <w:rPr>
          <w:rFonts w:ascii="宋体" w:hAnsi="宋体" w:eastAsia="宋体"/>
          <w:bCs w:val="0"/>
          <w:sz w:val="21"/>
          <w:szCs w:val="21"/>
        </w:rPr>
        <w:t xml:space="preserve">1</w:t>
      </w:r>
      <w:bookmarkEnd w:id="36"/>
      <w:r>
        <w:rPr>
          <w:rFonts w:hint="eastAsia" w:ascii="宋体" w:hAnsi="宋体" w:eastAsia="宋体"/>
          <w:bCs w:val="0"/>
          <w:sz w:val="21"/>
          <w:szCs w:val="21"/>
        </w:rPr>
        <w:t xml:space="preserve">、招标方式</w:t>
      </w:r>
      <w:bookmarkEnd w:id="37"/>
      <w:r/>
      <w:bookmarkEnd w:id="38"/>
      <w:r/>
      <w:bookmarkEnd w:id="39"/>
      <w:r>
        <w:rPr>
          <w:rFonts w:ascii="宋体" w:hAnsi="宋体" w:eastAsia="宋体"/>
          <w:bCs w:val="0"/>
          <w:sz w:val="21"/>
          <w:szCs w:val="21"/>
        </w:rPr>
      </w:r>
      <w:r/>
    </w:p>
    <w:p>
      <w:pPr>
        <w:pStyle w:val="1030"/>
        <w:ind w:firstLine="420"/>
        <w:spacing w:line="360" w:lineRule="auto"/>
        <w:rPr>
          <w:rFonts w:ascii="宋体" w:hAnsi="宋体"/>
          <w:szCs w:val="21"/>
        </w:rPr>
      </w:pPr>
      <w:r>
        <w:rPr>
          <w:rFonts w:hint="eastAsia" w:ascii="宋体" w:hAnsi="宋体"/>
          <w:szCs w:val="21"/>
        </w:rPr>
        <w:t xml:space="preserve">1.1 本次招标采取公开招标方式，本招标文件仅适用于</w:t>
      </w:r>
      <w:r>
        <w:rPr>
          <w:rFonts w:hint="eastAsia" w:ascii="宋体" w:hAnsi="宋体"/>
          <w:szCs w:val="21"/>
          <w:lang w:eastAsia="zh-CN"/>
        </w:rPr>
        <w:t xml:space="preserve">JSZC-321002-SDTZ-G2025-0017</w:t>
      </w:r>
      <w:r>
        <w:rPr>
          <w:rFonts w:hint="eastAsia" w:ascii="宋体" w:hAnsi="宋体"/>
          <w:szCs w:val="21"/>
        </w:rPr>
        <w:t xml:space="preserve">项目。</w:t>
      </w:r>
      <w:r>
        <w:rPr>
          <w:rFonts w:ascii="宋体" w:hAnsi="宋体"/>
          <w:szCs w:val="21"/>
        </w:rPr>
      </w:r>
      <w:r/>
    </w:p>
    <w:p>
      <w:pPr>
        <w:pStyle w:val="1034"/>
        <w:ind w:firstLine="422"/>
        <w:spacing w:before="0" w:after="0" w:line="360" w:lineRule="auto"/>
        <w:rPr>
          <w:rFonts w:hint="eastAsia" w:ascii="宋体" w:hAnsi="宋体" w:eastAsia="宋体"/>
          <w:bCs w:val="0"/>
          <w:sz w:val="21"/>
          <w:szCs w:val="21"/>
        </w:rPr>
      </w:pPr>
      <w:r/>
      <w:bookmarkStart w:id="40" w:name="_Toc20823277"/>
      <w:r/>
      <w:bookmarkStart w:id="41" w:name="_Toc16938521"/>
      <w:r/>
      <w:bookmarkStart w:id="42" w:name="_Toc513029205"/>
      <w:r>
        <w:rPr>
          <w:rFonts w:ascii="宋体" w:hAnsi="宋体" w:eastAsia="宋体"/>
          <w:bCs w:val="0"/>
          <w:sz w:val="21"/>
          <w:szCs w:val="21"/>
        </w:rPr>
        <w:t xml:space="preserve">2</w:t>
      </w:r>
      <w:r>
        <w:rPr>
          <w:rFonts w:hint="eastAsia" w:ascii="宋体" w:hAnsi="宋体" w:eastAsia="宋体"/>
          <w:bCs w:val="0"/>
          <w:sz w:val="21"/>
          <w:szCs w:val="21"/>
        </w:rPr>
        <w:t xml:space="preserve">、投标人</w:t>
      </w:r>
      <w:r>
        <w:rPr>
          <w:rFonts w:hint="eastAsia" w:ascii="宋体" w:hAnsi="宋体" w:eastAsia="宋体"/>
          <w:bCs w:val="0"/>
          <w:sz w:val="21"/>
          <w:szCs w:val="21"/>
        </w:rPr>
      </w:r>
      <w:r/>
    </w:p>
    <w:p>
      <w:pPr>
        <w:pStyle w:val="1034"/>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2.1 本招标文件中“供应商”，即“投标人”，是指参加投标竞争，并符合招标文件规定资格条件的法人、其他组织或者自然人。</w:t>
      </w:r>
      <w:r>
        <w:rPr>
          <w:rFonts w:hint="eastAsia" w:ascii="宋体" w:hAnsi="宋体" w:eastAsia="宋体"/>
          <w:b w:val="0"/>
          <w:bCs w:val="0"/>
          <w:sz w:val="21"/>
          <w:szCs w:val="21"/>
        </w:rPr>
      </w:r>
      <w:r/>
    </w:p>
    <w:p>
      <w:pPr>
        <w:pStyle w:val="1034"/>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2.2合格的投标人</w:t>
      </w:r>
      <w:bookmarkEnd w:id="40"/>
      <w:r/>
      <w:bookmarkEnd w:id="41"/>
      <w:r/>
      <w:bookmarkEnd w:id="42"/>
      <w:r>
        <w:rPr>
          <w:rFonts w:hint="eastAsia" w:ascii="宋体" w:hAnsi="宋体" w:eastAsia="宋体"/>
          <w:b w:val="0"/>
          <w:bCs w:val="0"/>
          <w:sz w:val="21"/>
          <w:szCs w:val="21"/>
        </w:rPr>
      </w:r>
      <w:r/>
    </w:p>
    <w:p>
      <w:pPr>
        <w:pStyle w:val="1030"/>
        <w:ind w:firstLine="420"/>
        <w:spacing w:line="360" w:lineRule="auto"/>
        <w:rPr>
          <w:rFonts w:ascii="宋体" w:hAnsi="宋体"/>
          <w:szCs w:val="21"/>
        </w:rPr>
      </w:pPr>
      <w:r>
        <w:rPr>
          <w:rFonts w:hint="eastAsia" w:ascii="宋体" w:hAnsi="宋体"/>
          <w:szCs w:val="21"/>
        </w:rPr>
        <w:t xml:space="preserve">2.2.1 满足投标邀请中供应商的资格条件要求的规定。</w:t>
      </w:r>
      <w:r>
        <w:rPr>
          <w:rFonts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2.2.2 满足本文件实质性条款的规定。</w:t>
      </w:r>
      <w:r>
        <w:rPr>
          <w:rFonts w:hint="eastAsia" w:ascii="宋体" w:hAnsi="宋体"/>
          <w:szCs w:val="21"/>
        </w:rPr>
      </w:r>
      <w:r/>
    </w:p>
    <w:p>
      <w:pPr>
        <w:pStyle w:val="1034"/>
        <w:ind w:firstLine="422"/>
        <w:spacing w:before="0" w:after="0" w:line="360" w:lineRule="auto"/>
        <w:rPr>
          <w:rFonts w:hint="eastAsia" w:ascii="宋体" w:hAnsi="宋体" w:eastAsia="宋体"/>
          <w:bCs w:val="0"/>
          <w:sz w:val="21"/>
          <w:szCs w:val="21"/>
        </w:rPr>
      </w:pPr>
      <w:r/>
      <w:bookmarkStart w:id="43" w:name="_Toc20823278"/>
      <w:r/>
      <w:bookmarkStart w:id="44" w:name="_Toc513029206"/>
      <w:r/>
      <w:bookmarkStart w:id="45" w:name="_Toc16938522"/>
      <w:r>
        <w:rPr>
          <w:rFonts w:ascii="宋体" w:hAnsi="宋体" w:eastAsia="宋体"/>
          <w:bCs w:val="0"/>
          <w:sz w:val="21"/>
          <w:szCs w:val="21"/>
        </w:rPr>
        <w:t xml:space="preserve">3</w:t>
      </w:r>
      <w:r>
        <w:rPr>
          <w:rFonts w:hint="eastAsia" w:ascii="宋体" w:hAnsi="宋体" w:eastAsia="宋体"/>
          <w:bCs w:val="0"/>
          <w:sz w:val="21"/>
          <w:szCs w:val="21"/>
        </w:rPr>
        <w:t xml:space="preserve">、适用法律</w:t>
      </w:r>
      <w:bookmarkEnd w:id="43"/>
      <w:r/>
      <w:bookmarkEnd w:id="44"/>
      <w:r/>
      <w:bookmarkEnd w:id="45"/>
      <w:r>
        <w:rPr>
          <w:rFonts w:hint="eastAsia" w:ascii="宋体" w:hAnsi="宋体" w:eastAsia="宋体"/>
          <w:bCs w:val="0"/>
          <w:sz w:val="21"/>
          <w:szCs w:val="21"/>
        </w:rPr>
      </w:r>
      <w:r/>
    </w:p>
    <w:p>
      <w:pPr>
        <w:pStyle w:val="1034"/>
        <w:ind w:firstLine="420"/>
        <w:spacing w:before="0" w:after="0" w:line="360" w:lineRule="auto"/>
        <w:rPr>
          <w:rFonts w:ascii="宋体" w:hAnsi="宋体" w:eastAsia="宋体"/>
          <w:b w:val="0"/>
          <w:bCs w:val="0"/>
          <w:sz w:val="21"/>
          <w:szCs w:val="21"/>
        </w:rPr>
      </w:pPr>
      <w:r>
        <w:rPr>
          <w:rFonts w:hint="eastAsia" w:ascii="宋体" w:hAnsi="宋体" w:eastAsia="宋体"/>
          <w:b w:val="0"/>
          <w:sz w:val="21"/>
          <w:szCs w:val="21"/>
        </w:rPr>
        <w:t xml:space="preserve">3.1 本次招标及由此产生的合同受中华人民共和国有关的法律法规制约和保护。</w:t>
      </w:r>
      <w:r>
        <w:rPr>
          <w:rFonts w:ascii="宋体" w:hAnsi="宋体" w:eastAsia="宋体"/>
          <w:b w:val="0"/>
          <w:bCs w:val="0"/>
          <w:sz w:val="21"/>
          <w:szCs w:val="21"/>
        </w:rPr>
      </w:r>
      <w:r/>
    </w:p>
    <w:p>
      <w:pPr>
        <w:pStyle w:val="1030"/>
        <w:ind w:firstLine="422"/>
        <w:spacing w:line="360" w:lineRule="auto"/>
        <w:rPr>
          <w:rFonts w:hint="eastAsia" w:ascii="宋体" w:hAnsi="宋体"/>
          <w:b/>
          <w:szCs w:val="21"/>
        </w:rPr>
      </w:pPr>
      <w:r>
        <w:rPr>
          <w:rFonts w:hint="eastAsia" w:ascii="宋体" w:hAnsi="宋体"/>
          <w:b/>
          <w:szCs w:val="21"/>
        </w:rPr>
        <w:t xml:space="preserve">4、投标费用</w:t>
      </w:r>
      <w:r>
        <w:rPr>
          <w:rFonts w:hint="eastAsia" w:ascii="宋体" w:hAnsi="宋体"/>
          <w:b/>
          <w:szCs w:val="21"/>
        </w:rPr>
      </w:r>
      <w:r/>
    </w:p>
    <w:p>
      <w:pPr>
        <w:pStyle w:val="1030"/>
        <w:ind w:firstLine="420"/>
        <w:spacing w:line="360" w:lineRule="auto"/>
        <w:rPr>
          <w:rFonts w:hint="eastAsia" w:ascii="宋体" w:hAnsi="宋体"/>
          <w:szCs w:val="21"/>
        </w:rPr>
      </w:pPr>
      <w:r>
        <w:rPr>
          <w:rFonts w:hint="eastAsia" w:ascii="宋体" w:hAnsi="宋体"/>
          <w:bCs/>
          <w:szCs w:val="21"/>
        </w:rPr>
        <w:t xml:space="preserve">4.1</w:t>
      </w:r>
      <w:r>
        <w:rPr>
          <w:rFonts w:hint="eastAsia" w:ascii="宋体" w:hAnsi="宋体"/>
          <w:szCs w:val="21"/>
        </w:rPr>
        <w:t xml:space="preserve"> 投标人应自行承担所有与参加投标有关的费用，无论投标过程中的做法和结果如何，代理机构在任何情况下均无义务和责任承担这些费用。</w:t>
      </w:r>
      <w:r>
        <w:rPr>
          <w:rFonts w:hint="eastAsia" w:ascii="宋体" w:hAnsi="宋体"/>
          <w:szCs w:val="21"/>
        </w:rPr>
      </w:r>
      <w:r/>
    </w:p>
    <w:p>
      <w:pPr>
        <w:pStyle w:val="1030"/>
        <w:numPr>
          <w:ilvl w:val="0"/>
          <w:numId w:val="7"/>
        </w:numPr>
        <w:ind w:firstLine="420"/>
        <w:jc w:val="left"/>
        <w:spacing w:line="360" w:lineRule="auto"/>
        <w:rPr>
          <w:rFonts w:hint="eastAsia" w:ascii="宋体" w:hAnsi="宋体"/>
          <w:szCs w:val="21"/>
        </w:rPr>
      </w:pPr>
      <w:r>
        <w:rPr>
          <w:rFonts w:hint="eastAsia" w:ascii="宋体" w:hAnsi="宋体"/>
          <w:szCs w:val="21"/>
        </w:rPr>
        <w:t xml:space="preserve">本次采购由中标单位在领取中标通知书前按照发改价格【2011】534号《关于降低部分建设项目收费标准规范收费行为等有关问题的通知》的40%计取（代理单项结算费用不足2000元时，按2000元计算）支付给采购代理机构代理服务费。</w:t>
      </w:r>
      <w:r>
        <w:rPr>
          <w:rFonts w:hint="eastAsia" w:ascii="宋体" w:hAnsi="宋体"/>
          <w:szCs w:val="21"/>
        </w:rPr>
      </w:r>
      <w:r/>
    </w:p>
    <w:p>
      <w:pPr>
        <w:pStyle w:val="1030"/>
        <w:spacing w:line="360" w:lineRule="auto"/>
        <w:rPr>
          <w:rFonts w:hint="eastAsia" w:ascii="宋体" w:hAnsi="宋体"/>
          <w:szCs w:val="21"/>
        </w:rPr>
      </w:pPr>
      <w:r>
        <w:rPr>
          <w:rFonts w:hint="eastAsia" w:ascii="宋体" w:hAnsi="宋体"/>
          <w:szCs w:val="21"/>
        </w:rPr>
        <w:t xml:space="preserve">    （2）代理服务费以人民币支付；</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（3）代理服务费支付方式：一次性以电汇、转账、支票、现金等形式支付</w:t>
      </w:r>
      <w:r>
        <w:rPr>
          <w:rFonts w:hint="eastAsia" w:ascii="宋体" w:hAnsi="宋体"/>
          <w:bCs/>
          <w:szCs w:val="21"/>
        </w:rPr>
        <w:t xml:space="preserve">；</w:t>
      </w:r>
      <w:r>
        <w:rPr>
          <w:rFonts w:hint="eastAsia" w:ascii="宋体" w:hAnsi="宋体"/>
          <w:szCs w:val="21"/>
        </w:rPr>
      </w:r>
      <w:r/>
    </w:p>
    <w:p>
      <w:pPr>
        <w:pStyle w:val="1030"/>
        <w:ind w:firstLine="420"/>
        <w:spacing w:line="360" w:lineRule="auto"/>
        <w:rPr>
          <w:rFonts w:hint="eastAsia"/>
        </w:rPr>
      </w:pPr>
      <w:r>
        <w:rPr>
          <w:rFonts w:hint="eastAsia" w:ascii="宋体" w:hAnsi="宋体"/>
          <w:szCs w:val="21"/>
        </w:rPr>
        <w:t xml:space="preserve">（4）招标代理服务费不在投标报价中单列，包含在投标总价中，由中标人支付给代理机构。</w:t>
      </w:r>
      <w:r>
        <w:rPr>
          <w:rFonts w:hint="eastAsia"/>
        </w:rPr>
      </w:r>
      <w:r/>
    </w:p>
    <w:p>
      <w:pPr>
        <w:pStyle w:val="1030"/>
        <w:ind w:firstLine="422"/>
        <w:spacing w:line="360" w:lineRule="auto"/>
        <w:rPr>
          <w:b/>
          <w:szCs w:val="21"/>
        </w:rPr>
      </w:pPr>
      <w:r>
        <w:rPr>
          <w:b/>
          <w:szCs w:val="21"/>
        </w:rPr>
        <w:t xml:space="preserve">开户银行：</w:t>
      </w:r>
      <w:r>
        <w:rPr>
          <w:rFonts w:hint="eastAsia"/>
          <w:b/>
          <w:szCs w:val="21"/>
        </w:rPr>
        <w:t xml:space="preserve">中国工商银行股份有限公司扬州汶河支行</w:t>
      </w:r>
      <w:r>
        <w:rPr>
          <w:b/>
          <w:szCs w:val="21"/>
        </w:rPr>
      </w:r>
      <w:r/>
    </w:p>
    <w:p>
      <w:pPr>
        <w:pStyle w:val="1030"/>
        <w:ind w:firstLine="422"/>
        <w:spacing w:line="360" w:lineRule="auto"/>
        <w:rPr>
          <w:b/>
          <w:szCs w:val="21"/>
        </w:rPr>
      </w:pPr>
      <w:r>
        <w:rPr>
          <w:b/>
          <w:szCs w:val="21"/>
        </w:rPr>
        <w:t xml:space="preserve">开户名称：江苏时代投资咨询有限公司</w:t>
      </w:r>
      <w:r>
        <w:rPr>
          <w:b/>
          <w:szCs w:val="21"/>
        </w:rPr>
      </w:r>
      <w:r/>
    </w:p>
    <w:p>
      <w:pPr>
        <w:pStyle w:val="1030"/>
        <w:ind w:firstLine="422"/>
        <w:spacing w:line="360" w:lineRule="auto"/>
        <w:rPr>
          <w:b/>
          <w:szCs w:val="21"/>
        </w:rPr>
      </w:pPr>
      <w:r>
        <w:rPr>
          <w:b/>
          <w:szCs w:val="21"/>
        </w:rPr>
        <w:t xml:space="preserve">开户帐号：</w:t>
      </w:r>
      <w:r>
        <w:rPr>
          <w:rFonts w:hint="eastAsia"/>
          <w:b/>
          <w:szCs w:val="21"/>
        </w:rPr>
        <w:t xml:space="preserve">1108020919100230888</w:t>
      </w:r>
      <w:r>
        <w:rPr>
          <w:b/>
          <w:szCs w:val="21"/>
        </w:rPr>
      </w:r>
      <w:r/>
    </w:p>
    <w:p>
      <w:pPr>
        <w:pStyle w:val="1095"/>
        <w:ind w:firstLine="420"/>
        <w:rPr>
          <w:rFonts w:hint="eastAsia" w:ascii="宋体" w:hAnsi="宋体" w:eastAsia="宋体"/>
          <w:sz w:val="21"/>
          <w:szCs w:val="21"/>
        </w:rPr>
      </w:pPr>
      <w:r>
        <w:rPr>
          <w:rFonts w:hint="eastAsia" w:ascii="宋体" w:hAnsi="宋体" w:eastAsia="宋体"/>
          <w:sz w:val="21"/>
          <w:szCs w:val="21"/>
        </w:rPr>
        <w:t xml:space="preserve">4.2专家评审费按《扬州市财政局关于进一步规范扬州市政府采购专家评审费标准的通知》（扬财购〔2020〕40号）执行。</w:t>
      </w:r>
      <w:r>
        <w:rPr>
          <w:rFonts w:hint="eastAsia" w:ascii="宋体" w:hAnsi="宋体" w:eastAsia="宋体"/>
          <w:sz w:val="21"/>
          <w:szCs w:val="21"/>
        </w:rPr>
      </w:r>
      <w:r/>
    </w:p>
    <w:p>
      <w:pPr>
        <w:pStyle w:val="1034"/>
        <w:ind w:firstLine="422"/>
        <w:spacing w:before="0" w:after="0" w:line="360" w:lineRule="auto"/>
        <w:rPr>
          <w:rFonts w:hint="eastAsia" w:ascii="宋体" w:hAnsi="宋体" w:eastAsia="宋体"/>
          <w:bCs w:val="0"/>
          <w:sz w:val="21"/>
          <w:szCs w:val="21"/>
        </w:rPr>
      </w:pPr>
      <w:r>
        <w:rPr>
          <w:rFonts w:hint="eastAsia" w:ascii="宋体" w:hAnsi="宋体" w:eastAsia="宋体"/>
          <w:sz w:val="21"/>
          <w:szCs w:val="21"/>
        </w:rPr>
        <w:t xml:space="preserve">5、</w:t>
      </w:r>
      <w:r>
        <w:rPr>
          <w:rFonts w:hint="eastAsia" w:ascii="宋体" w:hAnsi="宋体" w:eastAsia="宋体"/>
          <w:bCs w:val="0"/>
          <w:sz w:val="21"/>
          <w:szCs w:val="21"/>
        </w:rPr>
        <w:t xml:space="preserve">招标文件的约束力</w:t>
      </w:r>
      <w:r>
        <w:rPr>
          <w:rFonts w:hint="eastAsia" w:ascii="宋体" w:hAnsi="宋体" w:eastAsia="宋体"/>
          <w:bCs w:val="0"/>
          <w:sz w:val="21"/>
          <w:szCs w:val="21"/>
        </w:rPr>
      </w:r>
      <w:r/>
    </w:p>
    <w:p>
      <w:pPr>
        <w:pStyle w:val="1030"/>
        <w:ind w:firstLine="420"/>
        <w:spacing w:line="360" w:lineRule="auto"/>
        <w:rPr>
          <w:rFonts w:hint="eastAsia" w:ascii="宋体" w:hAnsi="宋体"/>
          <w:bCs/>
          <w:szCs w:val="21"/>
        </w:rPr>
      </w:pPr>
      <w:r>
        <w:rPr>
          <w:rFonts w:hint="eastAsia" w:ascii="宋体" w:hAnsi="宋体"/>
          <w:bCs/>
          <w:szCs w:val="21"/>
        </w:rPr>
        <w:t xml:space="preserve">5.1</w:t>
      </w:r>
      <w:r>
        <w:rPr>
          <w:rFonts w:hint="eastAsia" w:ascii="宋体" w:hAnsi="宋体"/>
          <w:szCs w:val="21"/>
        </w:rPr>
        <w:t xml:space="preserve"> 投标人一旦参加本项目采购活动，即被认为接受了本招标文件的规定和约束。</w:t>
      </w:r>
      <w:r>
        <w:rPr>
          <w:rFonts w:hint="eastAsia" w:ascii="宋体" w:hAnsi="宋体"/>
          <w:bCs/>
          <w:szCs w:val="21"/>
        </w:rPr>
      </w:r>
      <w:r/>
    </w:p>
    <w:p>
      <w:pPr>
        <w:pStyle w:val="1034"/>
        <w:ind w:firstLine="422"/>
        <w:spacing w:before="0" w:after="0" w:line="360" w:lineRule="auto"/>
        <w:rPr>
          <w:rFonts w:hint="eastAsia" w:ascii="宋体" w:hAnsi="宋体" w:eastAsia="宋体"/>
          <w:bCs w:val="0"/>
          <w:sz w:val="21"/>
          <w:szCs w:val="21"/>
        </w:rPr>
      </w:pPr>
      <w:r/>
      <w:bookmarkStart w:id="46" w:name="_Toc16938526"/>
      <w:r/>
      <w:bookmarkStart w:id="47" w:name="_Toc20823282"/>
      <w:r/>
      <w:bookmarkStart w:id="48" w:name="_Toc513029210"/>
      <w:r>
        <w:rPr>
          <w:rFonts w:ascii="宋体" w:hAnsi="宋体" w:eastAsia="宋体"/>
          <w:bCs w:val="0"/>
          <w:sz w:val="21"/>
          <w:szCs w:val="21"/>
        </w:rPr>
        <w:t xml:space="preserve">6</w:t>
      </w:r>
      <w:r>
        <w:rPr>
          <w:rFonts w:hint="eastAsia" w:ascii="宋体" w:hAnsi="宋体" w:eastAsia="宋体"/>
          <w:bCs w:val="0"/>
          <w:sz w:val="21"/>
          <w:szCs w:val="21"/>
        </w:rPr>
        <w:t xml:space="preserve">、招标文件构成</w:t>
      </w:r>
      <w:bookmarkEnd w:id="46"/>
      <w:r/>
      <w:bookmarkEnd w:id="47"/>
      <w:r/>
      <w:bookmarkEnd w:id="48"/>
      <w:r>
        <w:rPr>
          <w:rFonts w:hint="eastAsia" w:ascii="宋体" w:hAnsi="宋体" w:eastAsia="宋体"/>
          <w:bCs w:val="0"/>
          <w:sz w:val="21"/>
          <w:szCs w:val="21"/>
        </w:rPr>
      </w:r>
      <w:r/>
    </w:p>
    <w:p>
      <w:pPr>
        <w:pStyle w:val="1030"/>
        <w:ind w:firstLine="420"/>
        <w:spacing w:line="360" w:lineRule="auto"/>
        <w:rPr>
          <w:rFonts w:ascii="宋体" w:hAnsi="宋体"/>
          <w:szCs w:val="21"/>
        </w:rPr>
      </w:pPr>
      <w:r>
        <w:rPr>
          <w:rFonts w:hint="eastAsia" w:ascii="宋体" w:hAnsi="宋体"/>
          <w:bCs/>
          <w:szCs w:val="21"/>
        </w:rPr>
        <w:t xml:space="preserve">6.1</w:t>
      </w:r>
      <w:r>
        <w:rPr>
          <w:rFonts w:hint="eastAsia" w:ascii="宋体" w:hAnsi="宋体"/>
          <w:szCs w:val="21"/>
        </w:rPr>
        <w:t xml:space="preserve"> 招标文件有以下部分组成：</w:t>
      </w:r>
      <w:r>
        <w:rPr>
          <w:rFonts w:ascii="宋体" w:hAnsi="宋体"/>
          <w:szCs w:val="21"/>
        </w:rPr>
      </w:r>
      <w:r/>
    </w:p>
    <w:p>
      <w:pPr>
        <w:pStyle w:val="1030"/>
        <w:ind w:firstLine="315"/>
        <w:spacing w:line="360" w:lineRule="auto"/>
        <w:rPr>
          <w:rFonts w:hint="eastAsia" w:ascii="宋体" w:hAnsi="宋体"/>
          <w:szCs w:val="21"/>
        </w:rPr>
      </w:pPr>
      <w:r>
        <w:rPr>
          <w:rFonts w:hint="eastAsia" w:ascii="宋体" w:hAnsi="宋体"/>
          <w:szCs w:val="21"/>
        </w:rPr>
        <w:t xml:space="preserve">（1）招标公告</w:t>
      </w:r>
      <w:r>
        <w:rPr>
          <w:rFonts w:hint="eastAsia" w:ascii="宋体" w:hAnsi="宋体"/>
          <w:szCs w:val="21"/>
        </w:rPr>
      </w:r>
      <w:r/>
    </w:p>
    <w:p>
      <w:pPr>
        <w:pStyle w:val="1030"/>
        <w:ind w:firstLine="315"/>
        <w:spacing w:line="360" w:lineRule="auto"/>
        <w:tabs>
          <w:tab w:val="left" w:pos="2580" w:leader="none"/>
        </w:tabs>
        <w:rPr>
          <w:rFonts w:hint="eastAsia" w:ascii="宋体" w:hAnsi="宋体"/>
          <w:szCs w:val="21"/>
        </w:rPr>
      </w:pPr>
      <w:r>
        <w:rPr>
          <w:rFonts w:hint="eastAsia" w:ascii="宋体" w:hAnsi="宋体"/>
          <w:szCs w:val="21"/>
        </w:rPr>
        <w:t xml:space="preserve">（2）投标人须知</w:t>
      </w:r>
      <w:r>
        <w:rPr>
          <w:rFonts w:hint="eastAsia" w:ascii="宋体" w:hAnsi="宋体"/>
          <w:szCs w:val="21"/>
        </w:rPr>
      </w:r>
      <w:r/>
    </w:p>
    <w:p>
      <w:pPr>
        <w:pStyle w:val="1030"/>
        <w:ind w:firstLine="315"/>
        <w:spacing w:line="360" w:lineRule="auto"/>
        <w:rPr>
          <w:rFonts w:hint="eastAsia" w:ascii="宋体" w:hAnsi="宋体"/>
          <w:szCs w:val="21"/>
        </w:rPr>
      </w:pPr>
      <w:r>
        <w:rPr>
          <w:rFonts w:hint="eastAsia" w:ascii="宋体" w:hAnsi="宋体"/>
          <w:szCs w:val="21"/>
        </w:rPr>
        <w:t xml:space="preserve">（3）合同条款及格式</w:t>
      </w:r>
      <w:r>
        <w:rPr>
          <w:rFonts w:hint="eastAsia" w:ascii="宋体" w:hAnsi="宋体"/>
          <w:szCs w:val="21"/>
        </w:rPr>
      </w:r>
      <w:r/>
    </w:p>
    <w:p>
      <w:pPr>
        <w:pStyle w:val="1030"/>
        <w:ind w:firstLine="315"/>
        <w:spacing w:line="360" w:lineRule="auto"/>
        <w:rPr>
          <w:rFonts w:hint="eastAsia" w:ascii="宋体" w:hAnsi="宋体"/>
          <w:szCs w:val="21"/>
        </w:rPr>
      </w:pPr>
      <w:r>
        <w:rPr>
          <w:rFonts w:hint="eastAsia" w:ascii="宋体" w:hAnsi="宋体"/>
          <w:szCs w:val="21"/>
        </w:rPr>
        <w:t xml:space="preserve">（4）项目需求</w:t>
      </w:r>
      <w:r>
        <w:rPr>
          <w:rFonts w:hint="eastAsia" w:ascii="宋体" w:hAnsi="宋体"/>
          <w:szCs w:val="21"/>
        </w:rPr>
      </w:r>
      <w:r/>
    </w:p>
    <w:p>
      <w:pPr>
        <w:pStyle w:val="1030"/>
        <w:ind w:firstLine="315"/>
        <w:spacing w:line="360" w:lineRule="auto"/>
        <w:rPr>
          <w:rFonts w:hint="eastAsia" w:ascii="宋体" w:hAnsi="宋体"/>
          <w:szCs w:val="21"/>
        </w:rPr>
      </w:pPr>
      <w:r>
        <w:rPr>
          <w:rFonts w:hint="eastAsia" w:ascii="宋体" w:hAnsi="宋体"/>
          <w:szCs w:val="21"/>
        </w:rPr>
        <w:t xml:space="preserve">（5）评标方法与评标标准</w:t>
      </w:r>
      <w:r>
        <w:rPr>
          <w:rFonts w:hint="eastAsia" w:ascii="宋体" w:hAnsi="宋体"/>
          <w:szCs w:val="21"/>
        </w:rPr>
      </w:r>
      <w:r/>
    </w:p>
    <w:p>
      <w:pPr>
        <w:pStyle w:val="1030"/>
        <w:ind w:firstLine="315"/>
        <w:spacing w:line="360" w:lineRule="auto"/>
        <w:rPr>
          <w:rFonts w:ascii="宋体" w:hAnsi="宋体"/>
          <w:szCs w:val="21"/>
        </w:rPr>
      </w:pPr>
      <w:r>
        <w:rPr>
          <w:rFonts w:hint="eastAsia" w:ascii="宋体" w:hAnsi="宋体"/>
          <w:szCs w:val="21"/>
        </w:rPr>
        <w:t xml:space="preserve">（6）投标文件格式</w:t>
      </w:r>
      <w:r>
        <w:rPr>
          <w:rFonts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请仔细检查招标文件是否齐全，如有缺漏请立即与代理机构联系解决。</w:t>
      </w:r>
      <w:r>
        <w:rPr>
          <w:rFonts w:hint="eastAsia" w:ascii="宋体" w:hAnsi="宋体"/>
          <w:szCs w:val="21"/>
        </w:rPr>
      </w:r>
      <w:r/>
    </w:p>
    <w:p>
      <w:pPr>
        <w:pStyle w:val="1030"/>
        <w:ind w:firstLine="420"/>
        <w:spacing w:line="360" w:lineRule="auto"/>
        <w:rPr>
          <w:rFonts w:hint="eastAsia"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bCs/>
          <w:szCs w:val="21"/>
        </w:rPr>
      </w:r>
      <w:r/>
    </w:p>
    <w:p>
      <w:pPr>
        <w:pStyle w:val="1030"/>
        <w:ind w:firstLine="420"/>
        <w:spacing w:line="360" w:lineRule="auto"/>
        <w:rPr>
          <w:rFonts w:hint="eastAsia"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rPr>
          <w:rFonts w:hint="eastAsia" w:ascii="宋体" w:hAnsi="宋体"/>
          <w:bCs/>
          <w:szCs w:val="21"/>
        </w:rPr>
      </w:r>
      <w:r/>
    </w:p>
    <w:p>
      <w:pPr>
        <w:pStyle w:val="1030"/>
        <w:ind w:firstLine="420"/>
        <w:spacing w:line="360" w:lineRule="auto"/>
        <w:rPr>
          <w:rFonts w:hint="eastAsia" w:ascii="宋体" w:hAnsi="宋体"/>
          <w:szCs w:val="21"/>
        </w:rPr>
      </w:pPr>
      <w:r>
        <w:rPr>
          <w:rFonts w:hint="eastAsia" w:ascii="宋体" w:hAnsi="宋体"/>
          <w:bCs/>
          <w:szCs w:val="21"/>
        </w:rPr>
        <w:t xml:space="preserve">6.4</w:t>
      </w:r>
      <w:r>
        <w:rPr>
          <w:rFonts w:hint="eastAsia" w:ascii="宋体" w:hAnsi="宋体"/>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Cs w:val="21"/>
        </w:rPr>
      </w:r>
      <w:r/>
    </w:p>
    <w:p>
      <w:pPr>
        <w:pStyle w:val="1034"/>
        <w:ind w:firstLine="422"/>
        <w:spacing w:before="0" w:after="0" w:line="360" w:lineRule="auto"/>
        <w:rPr>
          <w:rFonts w:hint="eastAsia" w:ascii="宋体" w:hAnsi="宋体" w:eastAsia="宋体"/>
          <w:b w:val="0"/>
          <w:bCs w:val="0"/>
          <w:sz w:val="21"/>
          <w:szCs w:val="21"/>
        </w:rPr>
      </w:pPr>
      <w:r/>
      <w:bookmarkStart w:id="49" w:name="_Toc16938527"/>
      <w:r/>
      <w:bookmarkStart w:id="50" w:name="_Toc20823283"/>
      <w:r/>
      <w:bookmarkStart w:id="51" w:name="_Toc513029211"/>
      <w:r/>
      <w:bookmarkStart w:id="52" w:name="_Toc462564070"/>
      <w:r>
        <w:rPr>
          <w:rFonts w:ascii="宋体" w:hAnsi="宋体" w:eastAsia="宋体"/>
          <w:bCs w:val="0"/>
          <w:sz w:val="21"/>
          <w:szCs w:val="21"/>
        </w:rPr>
        <w:t xml:space="preserve">7</w:t>
      </w:r>
      <w:r>
        <w:rPr>
          <w:rFonts w:hint="eastAsia" w:ascii="宋体" w:hAnsi="宋体" w:eastAsia="宋体"/>
          <w:b w:val="0"/>
          <w:bCs w:val="0"/>
          <w:sz w:val="21"/>
          <w:szCs w:val="21"/>
        </w:rPr>
        <w:t xml:space="preserve">、</w:t>
      </w:r>
      <w:r>
        <w:rPr>
          <w:rFonts w:hint="eastAsia" w:ascii="宋体" w:hAnsi="宋体" w:eastAsia="宋体"/>
          <w:bCs w:val="0"/>
          <w:sz w:val="21"/>
          <w:szCs w:val="21"/>
        </w:rPr>
        <w:t xml:space="preserve">招标文件的</w:t>
      </w:r>
      <w:bookmarkEnd w:id="49"/>
      <w:r/>
      <w:bookmarkEnd w:id="50"/>
      <w:r/>
      <w:bookmarkEnd w:id="51"/>
      <w:r/>
      <w:bookmarkEnd w:id="52"/>
      <w:r>
        <w:rPr>
          <w:rFonts w:hint="eastAsia" w:ascii="宋体" w:hAnsi="宋体" w:eastAsia="宋体"/>
          <w:bCs w:val="0"/>
          <w:sz w:val="21"/>
          <w:szCs w:val="21"/>
        </w:rPr>
        <w:t xml:space="preserve">澄清</w:t>
      </w:r>
      <w:r>
        <w:rPr>
          <w:rFonts w:hint="eastAsia" w:ascii="宋体" w:hAnsi="宋体" w:eastAsia="宋体"/>
          <w:b w:val="0"/>
          <w:bCs w:val="0"/>
          <w:sz w:val="21"/>
          <w:szCs w:val="21"/>
        </w:rPr>
      </w:r>
      <w:r/>
    </w:p>
    <w:p>
      <w:pPr>
        <w:pStyle w:val="1030"/>
        <w:ind w:firstLine="420"/>
        <w:spacing w:line="360" w:lineRule="auto"/>
        <w:rPr>
          <w:rFonts w:ascii="宋体" w:hAnsi="宋体"/>
          <w:szCs w:val="21"/>
        </w:rPr>
      </w:pPr>
      <w:r>
        <w:rPr>
          <w:rFonts w:hint="eastAsia" w:ascii="宋体" w:hAnsi="宋体"/>
          <w:szCs w:val="21"/>
        </w:rPr>
        <w:t xml:space="preserve">7.1 任何要求对招标文件进行澄清的投标人，应在投标截止日期的十日前按投标邀请中的通讯地址，以书面形式通知代理机构。</w:t>
      </w:r>
      <w:r>
        <w:rPr>
          <w:rFonts w:ascii="宋体" w:hAnsi="宋体"/>
          <w:szCs w:val="21"/>
        </w:rPr>
      </w:r>
      <w:r/>
    </w:p>
    <w:p>
      <w:pPr>
        <w:pStyle w:val="1034"/>
        <w:ind w:firstLine="422"/>
        <w:spacing w:before="0" w:after="0" w:line="360" w:lineRule="auto"/>
        <w:rPr>
          <w:rFonts w:hint="eastAsia" w:ascii="宋体" w:hAnsi="宋体" w:eastAsia="宋体"/>
          <w:b w:val="0"/>
          <w:bCs w:val="0"/>
          <w:sz w:val="21"/>
          <w:szCs w:val="21"/>
        </w:rPr>
      </w:pPr>
      <w:r/>
      <w:bookmarkStart w:id="53" w:name="_Toc16938528"/>
      <w:r/>
      <w:bookmarkStart w:id="54" w:name="_Toc20823284"/>
      <w:r/>
      <w:bookmarkStart w:id="55" w:name="_Toc513029212"/>
      <w:r/>
      <w:bookmarkStart w:id="56" w:name="_Toc462564071"/>
      <w:r>
        <w:rPr>
          <w:rFonts w:hint="eastAsia" w:ascii="宋体" w:hAnsi="宋体" w:eastAsia="宋体"/>
          <w:bCs w:val="0"/>
          <w:sz w:val="21"/>
          <w:szCs w:val="21"/>
        </w:rPr>
        <w:t xml:space="preserve">8</w:t>
      </w:r>
      <w:r>
        <w:rPr>
          <w:rFonts w:hint="eastAsia" w:ascii="宋体" w:hAnsi="宋体" w:eastAsia="宋体"/>
          <w:b w:val="0"/>
          <w:bCs w:val="0"/>
          <w:sz w:val="21"/>
          <w:szCs w:val="21"/>
        </w:rPr>
        <w:t xml:space="preserve">、</w:t>
      </w:r>
      <w:r>
        <w:rPr>
          <w:rFonts w:hint="eastAsia" w:ascii="宋体" w:hAnsi="宋体" w:eastAsia="宋体"/>
          <w:bCs w:val="0"/>
          <w:sz w:val="21"/>
          <w:szCs w:val="21"/>
        </w:rPr>
        <w:t xml:space="preserve">招标文件的修改</w:t>
      </w:r>
      <w:bookmarkEnd w:id="53"/>
      <w:r/>
      <w:bookmarkEnd w:id="54"/>
      <w:r/>
      <w:bookmarkEnd w:id="55"/>
      <w:r/>
      <w:bookmarkEnd w:id="56"/>
      <w:r>
        <w:rPr>
          <w:rFonts w:hint="eastAsia" w:ascii="宋体" w:hAnsi="宋体" w:eastAsia="宋体"/>
          <w:b w:val="0"/>
          <w:bCs w:val="0"/>
          <w:sz w:val="21"/>
          <w:szCs w:val="21"/>
        </w:rPr>
      </w:r>
      <w:r/>
    </w:p>
    <w:p>
      <w:pPr>
        <w:pStyle w:val="1030"/>
        <w:ind w:firstLine="420"/>
        <w:spacing w:line="360" w:lineRule="auto"/>
        <w:rPr>
          <w:rFonts w:ascii="宋体" w:hAnsi="宋体"/>
          <w:szCs w:val="21"/>
        </w:rPr>
      </w:pPr>
      <w:r>
        <w:rPr>
          <w:rFonts w:hint="eastAsia" w:ascii="宋体" w:hAnsi="宋体"/>
          <w:bCs/>
          <w:szCs w:val="21"/>
        </w:rPr>
        <w:t xml:space="preserve">8.1</w:t>
      </w:r>
      <w:r>
        <w:rPr>
          <w:rFonts w:hint="eastAsia" w:ascii="宋体" w:hAnsi="宋体"/>
          <w:szCs w:val="21"/>
        </w:rPr>
        <w:t xml:space="preserve"> 在投标截止时间前，代理机构可以对招标文件进行修改。</w:t>
      </w:r>
      <w:r>
        <w:rPr>
          <w:rFonts w:ascii="宋体" w:hAnsi="宋体"/>
          <w:szCs w:val="21"/>
        </w:rPr>
      </w:r>
      <w:r/>
    </w:p>
    <w:p>
      <w:pPr>
        <w:pStyle w:val="1030"/>
        <w:ind w:firstLine="420"/>
        <w:spacing w:line="360" w:lineRule="auto"/>
        <w:rPr>
          <w:rFonts w:hint="eastAsia" w:ascii="宋体" w:hAnsi="宋体"/>
          <w:bCs/>
          <w:szCs w:val="21"/>
        </w:rPr>
      </w:pPr>
      <w:r>
        <w:rPr>
          <w:rFonts w:hint="eastAsia" w:ascii="宋体" w:hAnsi="宋体"/>
          <w:bCs/>
          <w:szCs w:val="21"/>
        </w:rPr>
        <w:t xml:space="preserve">8.2代理机构在招标文件要求提交投标文件截止时间前，有权决定延长投标截止时间和开标时间，并在原采购信息发布媒体上发布变更公告。</w:t>
      </w:r>
      <w:r>
        <w:rPr>
          <w:rFonts w:hint="eastAsia" w:ascii="宋体" w:hAnsi="宋体"/>
          <w:bCs/>
          <w:szCs w:val="21"/>
        </w:rPr>
      </w:r>
      <w:r/>
    </w:p>
    <w:p>
      <w:pPr>
        <w:pStyle w:val="1030"/>
        <w:ind w:firstLine="420"/>
        <w:spacing w:line="360" w:lineRule="auto"/>
        <w:rPr>
          <w:rFonts w:hint="eastAsia" w:ascii="宋体" w:hAnsi="宋体"/>
          <w:szCs w:val="21"/>
        </w:rPr>
      </w:pPr>
      <w:r>
        <w:rPr>
          <w:rFonts w:hint="eastAsia" w:ascii="宋体" w:hAnsi="宋体"/>
          <w:bCs/>
          <w:szCs w:val="21"/>
        </w:rPr>
        <w:t xml:space="preserve">8.3</w:t>
      </w:r>
      <w:r>
        <w:rPr>
          <w:rFonts w:hint="eastAsia" w:ascii="宋体" w:hAnsi="宋体"/>
          <w:szCs w:val="21"/>
        </w:rPr>
        <w:t xml:space="preserve">招标文件的修改将在“江苏省政府采购网”、“扬州市政府采购网”、“扬州市广陵区政府采购网”公布，补充文件将作为招标文件的组成部分，并对投标人具有约束力。</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8.4投标人应在投标截止时间前关注原采购信息发布媒体上有关本招标项目有无变更公告。</w:t>
      </w:r>
      <w:r>
        <w:rPr>
          <w:rFonts w:hint="eastAsia" w:ascii="宋体" w:hAnsi="宋体"/>
          <w:szCs w:val="21"/>
        </w:rPr>
      </w:r>
      <w:r/>
    </w:p>
    <w:p>
      <w:pPr>
        <w:pStyle w:val="1034"/>
        <w:ind w:firstLine="422"/>
        <w:spacing w:before="0" w:after="0" w:line="360" w:lineRule="auto"/>
        <w:rPr>
          <w:rFonts w:hint="eastAsia" w:ascii="宋体" w:hAnsi="宋体" w:eastAsia="宋体"/>
          <w:bCs w:val="0"/>
          <w:sz w:val="21"/>
          <w:szCs w:val="21"/>
        </w:rPr>
      </w:pPr>
      <w:r/>
      <w:bookmarkStart w:id="57" w:name="_Toc20823286"/>
      <w:r/>
      <w:bookmarkStart w:id="58" w:name="_Toc513029214"/>
      <w:r/>
      <w:bookmarkStart w:id="59" w:name="_Toc16938530"/>
      <w:r/>
      <w:bookmarkStart w:id="60" w:name="_Toc462564073"/>
      <w:r>
        <w:rPr>
          <w:rFonts w:ascii="宋体" w:hAnsi="宋体" w:eastAsia="宋体"/>
          <w:bCs w:val="0"/>
          <w:sz w:val="21"/>
          <w:szCs w:val="21"/>
        </w:rPr>
        <w:t xml:space="preserve">9</w:t>
      </w:r>
      <w:r>
        <w:rPr>
          <w:rFonts w:hint="eastAsia" w:ascii="宋体" w:hAnsi="宋体" w:eastAsia="宋体"/>
          <w:bCs w:val="0"/>
          <w:sz w:val="21"/>
          <w:szCs w:val="21"/>
        </w:rPr>
        <w:t xml:space="preserve">、投标文件的语言、度量衡单位</w:t>
      </w:r>
      <w:bookmarkEnd w:id="57"/>
      <w:r/>
      <w:bookmarkEnd w:id="58"/>
      <w:r/>
      <w:bookmarkEnd w:id="59"/>
      <w:r/>
      <w:bookmarkEnd w:id="60"/>
      <w:r>
        <w:rPr>
          <w:rFonts w:hint="eastAsia" w:ascii="宋体" w:hAnsi="宋体" w:eastAsia="宋体"/>
          <w:bCs w:val="0"/>
          <w:sz w:val="21"/>
          <w:szCs w:val="21"/>
        </w:rPr>
        <w:t xml:space="preserve">、货币和编制</w:t>
      </w:r>
      <w:r>
        <w:rPr>
          <w:rFonts w:hint="eastAsia" w:ascii="宋体" w:hAnsi="宋体" w:eastAsia="宋体"/>
          <w:bCs w:val="0"/>
          <w:sz w:val="21"/>
          <w:szCs w:val="21"/>
        </w:rPr>
      </w:r>
      <w:r/>
    </w:p>
    <w:p>
      <w:pPr>
        <w:pStyle w:val="1030"/>
        <w:ind w:firstLine="420"/>
        <w:spacing w:line="360" w:lineRule="auto"/>
        <w:rPr>
          <w:rFonts w:ascii="宋体" w:hAnsi="宋体"/>
          <w:szCs w:val="21"/>
        </w:rPr>
      </w:pPr>
      <w:r>
        <w:rPr>
          <w:rFonts w:hint="eastAsia" w:ascii="宋体" w:hAnsi="宋体"/>
          <w:bCs/>
          <w:szCs w:val="21"/>
        </w:rPr>
        <w:t xml:space="preserve">9.1</w:t>
      </w:r>
      <w:r>
        <w:rPr>
          <w:rFonts w:hint="eastAsia" w:ascii="宋体" w:hAnsi="宋体"/>
          <w:szCs w:val="21"/>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rPr>
          <w:rFonts w:ascii="宋体" w:hAnsi="宋体"/>
          <w:szCs w:val="21"/>
        </w:rPr>
      </w:r>
      <w:r/>
    </w:p>
    <w:p>
      <w:pPr>
        <w:pStyle w:val="1030"/>
        <w:ind w:firstLine="420"/>
        <w:spacing w:line="360" w:lineRule="auto"/>
        <w:rPr>
          <w:rFonts w:hint="eastAsia" w:ascii="宋体" w:hAnsi="宋体"/>
          <w:szCs w:val="21"/>
        </w:rPr>
      </w:pPr>
      <w:r>
        <w:rPr>
          <w:rFonts w:hint="eastAsia" w:ascii="宋体" w:hAnsi="宋体"/>
          <w:bCs/>
          <w:szCs w:val="21"/>
        </w:rPr>
        <w:t xml:space="preserve">9.2</w:t>
      </w:r>
      <w:r>
        <w:rPr>
          <w:rFonts w:hint="eastAsia" w:ascii="宋体" w:hAnsi="宋体"/>
          <w:szCs w:val="21"/>
        </w:rPr>
        <w:t xml:space="preserve"> 除技术性能另有规定外，投标文件所使用的度量衡单位，均须采用国家法定计量单位。</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9.3投标人应使用人民币报价。</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9.4投标文件应字迹清楚、内容齐全、不得涂改。如有修改，修改处须有投标人加盖公章和法定代表人或其授权代表签字。</w:t>
      </w:r>
      <w:r>
        <w:rPr>
          <w:rFonts w:hint="eastAsia" w:ascii="宋体" w:hAnsi="宋体"/>
          <w:szCs w:val="21"/>
        </w:rPr>
      </w:r>
      <w:r/>
    </w:p>
    <w:p>
      <w:pPr>
        <w:pStyle w:val="1034"/>
        <w:ind w:firstLine="422"/>
        <w:spacing w:before="0" w:after="0" w:line="360" w:lineRule="auto"/>
        <w:rPr>
          <w:rFonts w:hint="eastAsia" w:ascii="宋体" w:hAnsi="宋体" w:eastAsia="宋体"/>
          <w:bCs w:val="0"/>
          <w:sz w:val="21"/>
          <w:szCs w:val="21"/>
        </w:rPr>
      </w:pPr>
      <w:r/>
      <w:bookmarkStart w:id="61" w:name="_Toc20823287"/>
      <w:r/>
      <w:bookmarkStart w:id="62" w:name="_Toc513029215"/>
      <w:r/>
      <w:bookmarkStart w:id="63" w:name="_Toc16938531"/>
      <w:r/>
      <w:bookmarkStart w:id="64" w:name="_Toc462564074"/>
      <w:r>
        <w:rPr>
          <w:rFonts w:ascii="宋体" w:hAnsi="宋体" w:eastAsia="宋体"/>
          <w:bCs w:val="0"/>
          <w:sz w:val="21"/>
          <w:szCs w:val="21"/>
        </w:rPr>
        <w:t xml:space="preserve">10</w:t>
      </w:r>
      <w:r>
        <w:rPr>
          <w:rFonts w:hint="eastAsia" w:ascii="宋体" w:hAnsi="宋体" w:eastAsia="宋体"/>
          <w:bCs w:val="0"/>
          <w:sz w:val="21"/>
          <w:szCs w:val="21"/>
        </w:rPr>
        <w:t xml:space="preserve">、投标文件构成</w:t>
      </w:r>
      <w:bookmarkEnd w:id="61"/>
      <w:r/>
      <w:bookmarkEnd w:id="62"/>
      <w:r/>
      <w:bookmarkEnd w:id="63"/>
      <w:r/>
      <w:bookmarkEnd w:id="64"/>
      <w:r>
        <w:rPr>
          <w:rFonts w:hint="eastAsia" w:ascii="宋体" w:hAnsi="宋体" w:eastAsia="宋体"/>
          <w:bCs w:val="0"/>
          <w:sz w:val="21"/>
          <w:szCs w:val="21"/>
        </w:rPr>
      </w:r>
      <w:r/>
    </w:p>
    <w:p>
      <w:pPr>
        <w:pStyle w:val="1030"/>
        <w:ind w:firstLine="420"/>
        <w:spacing w:line="360" w:lineRule="auto"/>
        <w:rPr>
          <w:rFonts w:hint="eastAsia" w:ascii="宋体" w:hAnsi="宋体"/>
          <w:szCs w:val="21"/>
        </w:rPr>
      </w:pPr>
      <w:r>
        <w:rPr>
          <w:rFonts w:hint="eastAsia" w:ascii="宋体" w:hAnsi="宋体"/>
          <w:bCs/>
          <w:szCs w:val="21"/>
        </w:rPr>
        <w:t xml:space="preserve">10.1</w:t>
      </w:r>
      <w:r>
        <w:rPr>
          <w:rFonts w:hint="eastAsia" w:ascii="宋体" w:hAnsi="宋体"/>
          <w:szCs w:val="21"/>
        </w:rPr>
        <w:t xml:space="preserve"> 投标人编写的投标文件应包括：资信证明文件、技术参数响应及偏离表、商务条款响应及偏离表、技术及售后服务承诺书、开标一览表等部分；</w:t>
      </w:r>
      <w:r>
        <w:rPr>
          <w:rFonts w:hint="eastAsia" w:ascii="宋体" w:hAnsi="宋体"/>
          <w:szCs w:val="21"/>
        </w:rPr>
      </w:r>
      <w:r/>
    </w:p>
    <w:p>
      <w:pPr>
        <w:pStyle w:val="1034"/>
        <w:ind w:firstLine="420"/>
        <w:spacing w:before="0" w:after="0" w:line="360" w:lineRule="auto"/>
        <w:rPr>
          <w:rFonts w:hint="eastAsia" w:ascii="宋体" w:hAnsi="宋体" w:eastAsia="宋体"/>
          <w:b w:val="0"/>
          <w:bCs w:val="0"/>
          <w:sz w:val="21"/>
          <w:szCs w:val="21"/>
        </w:rPr>
      </w:pPr>
      <w:r/>
      <w:bookmarkStart w:id="65" w:name="_Toc513029219"/>
      <w:r/>
      <w:bookmarkStart w:id="66" w:name="_Toc49090509"/>
      <w:r/>
      <w:bookmarkStart w:id="67" w:name="_Toc14577357"/>
      <w:r/>
      <w:bookmarkStart w:id="68" w:name="_Toc513029216"/>
      <w:r/>
      <w:bookmarkStart w:id="69" w:name="_Toc49090507"/>
      <w:r/>
      <w:bookmarkStart w:id="70" w:name="_Toc14577354"/>
      <w:r>
        <w:rPr>
          <w:rFonts w:hint="eastAsia" w:ascii="宋体" w:hAnsi="宋体" w:eastAsia="宋体"/>
          <w:b w:val="0"/>
          <w:bCs w:val="0"/>
          <w:sz w:val="21"/>
          <w:szCs w:val="21"/>
        </w:rPr>
        <w:t xml:space="preserve">10.2 投标人应将投标文件按顺序装订成册，应逐页编码，不得跳页（包括但不限于证明材料、声明及产品介绍、彩页等），并编制投标文件资料目录。由于编排混乱导致投标文件被误读或查找不到，责任由投标人承担。</w:t>
      </w:r>
      <w:r>
        <w:rPr>
          <w:rFonts w:hint="eastAsia" w:ascii="宋体" w:hAnsi="宋体" w:eastAsia="宋体"/>
          <w:b w:val="0"/>
          <w:bCs w:val="0"/>
          <w:sz w:val="21"/>
          <w:szCs w:val="21"/>
        </w:rPr>
      </w:r>
      <w:r/>
    </w:p>
    <w:p>
      <w:pPr>
        <w:pStyle w:val="1034"/>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10.3 投标人应当根据招标文件要求编制投标文件，投标文件应对招标文件提出的要求和条件作出实质性响应，并在相应的投标文件中逐条标明满足与否。</w:t>
      </w:r>
      <w:r>
        <w:rPr>
          <w:rFonts w:hint="eastAsia" w:ascii="宋体" w:hAnsi="宋体" w:eastAsia="宋体"/>
          <w:b w:val="0"/>
          <w:bCs w:val="0"/>
          <w:sz w:val="21"/>
          <w:szCs w:val="21"/>
        </w:rPr>
      </w:r>
      <w:r/>
    </w:p>
    <w:p>
      <w:pPr>
        <w:pStyle w:val="1034"/>
        <w:ind w:firstLine="422"/>
        <w:spacing w:before="0" w:after="0" w:line="360" w:lineRule="auto"/>
        <w:rPr>
          <w:rFonts w:hint="eastAsia" w:ascii="宋体" w:hAnsi="宋体" w:eastAsia="宋体"/>
          <w:b w:val="0"/>
          <w:bCs w:val="0"/>
          <w:sz w:val="21"/>
          <w:szCs w:val="21"/>
        </w:rPr>
      </w:pPr>
      <w:r>
        <w:rPr>
          <w:rFonts w:ascii="宋体" w:hAnsi="宋体" w:eastAsia="宋体"/>
          <w:bCs w:val="0"/>
          <w:sz w:val="21"/>
          <w:szCs w:val="21"/>
        </w:rPr>
        <w:t xml:space="preserve">11</w:t>
      </w:r>
      <w:r>
        <w:rPr>
          <w:rFonts w:hint="eastAsia" w:ascii="宋体" w:hAnsi="宋体" w:eastAsia="宋体"/>
          <w:bCs w:val="0"/>
          <w:sz w:val="21"/>
          <w:szCs w:val="21"/>
        </w:rPr>
        <w:t xml:space="preserve">、证明投标人资格及符合招标文件规定的文件</w:t>
      </w:r>
      <w:bookmarkEnd w:id="65"/>
      <w:r/>
      <w:bookmarkEnd w:id="66"/>
      <w:r/>
      <w:bookmarkEnd w:id="67"/>
      <w:r>
        <w:rPr>
          <w:rFonts w:hint="eastAsia" w:ascii="宋体" w:hAnsi="宋体" w:eastAsia="宋体"/>
          <w:b w:val="0"/>
          <w:bCs w:val="0"/>
          <w:sz w:val="21"/>
          <w:szCs w:val="21"/>
        </w:rPr>
      </w:r>
      <w:r/>
    </w:p>
    <w:p>
      <w:pPr>
        <w:pStyle w:val="1030"/>
        <w:ind w:firstLine="420"/>
        <w:spacing w:line="360" w:lineRule="auto"/>
        <w:rPr>
          <w:rFonts w:ascii="宋体" w:hAnsi="宋体"/>
          <w:szCs w:val="21"/>
        </w:rPr>
      </w:pPr>
      <w:r>
        <w:rPr>
          <w:rFonts w:hint="eastAsia" w:ascii="宋体" w:hAnsi="宋体"/>
          <w:szCs w:val="21"/>
        </w:rPr>
        <w:t xml:space="preserve">11.1投标人应按要求提交资信证明文件及符合招标文件规定的文件。</w:t>
      </w:r>
      <w:r>
        <w:rPr>
          <w:rFonts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11.2投标人应提交证明其有资格参加投标和中标后有能力独立履行合同的文件。</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11.3投标人除必须具有履行合同所需提供的货物以及服务的能力外，还必须具备相应的财务、技术方面的能力。</w:t>
      </w:r>
      <w:r>
        <w:rPr>
          <w:rFonts w:hint="eastAsia" w:ascii="宋体" w:hAnsi="宋体"/>
          <w:szCs w:val="21"/>
        </w:rPr>
      </w:r>
      <w:r/>
    </w:p>
    <w:p>
      <w:pPr>
        <w:pStyle w:val="1030"/>
        <w:spacing w:line="360" w:lineRule="auto"/>
        <w:rPr>
          <w:rFonts w:hint="eastAsia" w:ascii="宋体" w:hAnsi="宋体"/>
          <w:szCs w:val="21"/>
        </w:rPr>
      </w:pPr>
      <w:r>
        <w:rPr>
          <w:rFonts w:hint="eastAsia" w:ascii="宋体" w:hAnsi="宋体"/>
          <w:szCs w:val="21"/>
        </w:rPr>
        <w:t xml:space="preserve">    11.4投标人应提交根据合同要求提供的证明产品质量合格以及符合招标文件规定的证明文件。</w:t>
      </w:r>
      <w:r>
        <w:rPr>
          <w:rFonts w:hint="eastAsia" w:ascii="宋体" w:hAnsi="宋体"/>
          <w:szCs w:val="21"/>
        </w:rPr>
      </w:r>
      <w:r/>
    </w:p>
    <w:p>
      <w:pPr>
        <w:pStyle w:val="1030"/>
        <w:spacing w:line="360" w:lineRule="auto"/>
        <w:rPr>
          <w:rFonts w:hint="eastAsia" w:ascii="宋体" w:hAnsi="宋体"/>
          <w:szCs w:val="21"/>
        </w:rPr>
      </w:pPr>
      <w:r>
        <w:rPr>
          <w:rFonts w:hint="eastAsia" w:ascii="宋体" w:hAnsi="宋体"/>
          <w:szCs w:val="21"/>
        </w:rPr>
        <w:t xml:space="preserve">    11.5证明投标人所提供货物与招标文件的要求相一致的文件可以是手册、图纸、文字资料和数据</w:t>
      </w:r>
      <w:r>
        <w:rPr>
          <w:rFonts w:hint="eastAsia" w:ascii="宋体" w:hAnsi="宋体"/>
          <w:bCs/>
          <w:szCs w:val="21"/>
        </w:rPr>
        <w:t xml:space="preserve">。</w:t>
      </w:r>
      <w:r>
        <w:rPr>
          <w:rFonts w:hint="eastAsia" w:ascii="宋体" w:hAnsi="宋体"/>
          <w:szCs w:val="21"/>
        </w:rPr>
      </w:r>
      <w:r/>
    </w:p>
    <w:p>
      <w:pPr>
        <w:pStyle w:val="1030"/>
        <w:ind w:firstLine="422"/>
        <w:spacing w:line="440" w:lineRule="exact"/>
        <w:rPr>
          <w:rFonts w:ascii="宋体" w:hAnsi="宋体"/>
          <w:b/>
          <w:szCs w:val="21"/>
        </w:rPr>
      </w:pPr>
      <w:r/>
      <w:bookmarkEnd w:id="68"/>
      <w:r/>
      <w:bookmarkEnd w:id="69"/>
      <w:r/>
      <w:bookmarkEnd w:id="70"/>
      <w:r>
        <w:rPr>
          <w:rFonts w:hint="eastAsia" w:ascii="宋体" w:hAnsi="宋体"/>
          <w:b/>
          <w:szCs w:val="21"/>
        </w:rPr>
        <w:t xml:space="preserve">12、投标配置与分项报价表</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12.2 标的物</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招标文件未列明，而投标人认为必需的费用也需列入报价。</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13.1 对招标文件中的技术与商务条款要求逐项作出响应或偏离，并说明原因；</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1030"/>
        <w:spacing w:line="440" w:lineRule="exact"/>
        <w:rPr>
          <w:rFonts w:ascii="宋体" w:hAnsi="宋体"/>
          <w:bCs/>
          <w:szCs w:val="21"/>
        </w:rPr>
      </w:pPr>
      <w:r>
        <w:rPr>
          <w:rFonts w:hint="eastAsia" w:ascii="宋体" w:hAnsi="宋体"/>
          <w:bCs/>
          <w:szCs w:val="21"/>
        </w:rPr>
        <w:t xml:space="preserve">    14.1投标人的服务承诺应按不低于招标文件中商务要求的标准。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16、投标有效期</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1030"/>
        <w:ind w:firstLine="422"/>
        <w:spacing w:line="440" w:lineRule="exact"/>
        <w:rPr>
          <w:rFonts w:ascii="宋体" w:hAnsi="宋体"/>
          <w:b/>
          <w:szCs w:val="21"/>
        </w:rPr>
      </w:pPr>
      <w:r/>
      <w:bookmarkStart w:id="71" w:name="_Toc16938541"/>
      <w:r/>
      <w:bookmarkStart w:id="72" w:name="_Toc462564084"/>
      <w:r/>
      <w:bookmarkStart w:id="73" w:name="_Toc20823297"/>
      <w:r/>
      <w:bookmarkStart w:id="74" w:name="_Toc513029225"/>
      <w:r>
        <w:rPr>
          <w:rFonts w:hint="eastAsia" w:ascii="宋体" w:hAnsi="宋体"/>
          <w:b/>
          <w:szCs w:val="21"/>
        </w:rPr>
        <w:t xml:space="preserve">17、投标文件</w:t>
      </w:r>
      <w:bookmarkEnd w:id="71"/>
      <w:r/>
      <w:bookmarkEnd w:id="72"/>
      <w:r/>
      <w:bookmarkEnd w:id="73"/>
      <w:r/>
      <w:bookmarkEnd w:id="74"/>
      <w:r>
        <w:rPr>
          <w:rFonts w:hint="eastAsia" w:ascii="宋体" w:hAnsi="宋体"/>
          <w:b/>
          <w:szCs w:val="21"/>
        </w:rPr>
        <w:t xml:space="preserve">的递交</w:t>
      </w:r>
      <w:r>
        <w:rPr>
          <w:rFonts w:ascii="宋体" w:hAnsi="宋体"/>
          <w:b/>
          <w:szCs w:val="21"/>
        </w:rPr>
      </w:r>
      <w:r/>
    </w:p>
    <w:p>
      <w:pPr>
        <w:pStyle w:val="1030"/>
        <w:ind w:firstLine="420"/>
        <w:spacing w:line="440" w:lineRule="exact"/>
        <w:rPr>
          <w:rFonts w:hint="eastAsia"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75" w:name="_Toc513029226"/>
      <w:r/>
      <w:bookmarkStart w:id="76" w:name="_Toc20823298"/>
      <w:r/>
      <w:bookmarkStart w:id="77" w:name="_Toc16938542"/>
      <w:r>
        <w:rPr>
          <w:rFonts w:hint="eastAsia" w:ascii="宋体" w:hAnsi="宋体"/>
          <w:bCs/>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hint="eastAsia" w:ascii="宋体" w:hAnsi="宋体"/>
          <w:b/>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hint="eastAsia" w:ascii="宋体" w:hAnsi="宋体"/>
          <w:b/>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17.4投标人应当对招标文件提出的要求和条件作出实质性响应，并在电子投标系统逐条应答。</w:t>
      </w:r>
      <w:r>
        <w:rPr>
          <w:rFonts w:hint="eastAsia" w:ascii="宋体" w:hAnsi="宋体"/>
          <w:b/>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hint="eastAsia" w:ascii="宋体" w:hAnsi="宋体"/>
          <w:b/>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rPr>
          <w:rFonts w:hint="eastAsia" w:ascii="宋体" w:hAnsi="宋体"/>
          <w:b/>
          <w:szCs w:val="21"/>
        </w:rPr>
      </w:r>
      <w:r/>
    </w:p>
    <w:p>
      <w:pPr>
        <w:pStyle w:val="1030"/>
        <w:ind w:firstLine="422"/>
        <w:spacing w:line="440" w:lineRule="exact"/>
      </w:pPr>
      <w:r>
        <w:rPr>
          <w:rFonts w:hint="eastAsia" w:ascii="宋体" w:hAnsi="宋体"/>
          <w:b/>
          <w:szCs w:val="21"/>
        </w:rPr>
        <w:t xml:space="preserve">17.7各投标人应在规定时间内凭CA证书进行网上解密。</w:t>
      </w:r>
      <w:r/>
    </w:p>
    <w:p>
      <w:pPr>
        <w:pStyle w:val="1030"/>
        <w:ind w:firstLine="422"/>
        <w:spacing w:line="440" w:lineRule="exact"/>
        <w:rPr>
          <w:rFonts w:ascii="宋体" w:hAnsi="宋体"/>
          <w:b/>
          <w:szCs w:val="21"/>
        </w:rPr>
      </w:pPr>
      <w:r>
        <w:rPr>
          <w:rFonts w:hint="eastAsia" w:ascii="宋体" w:hAnsi="宋体"/>
          <w:b/>
          <w:szCs w:val="21"/>
        </w:rPr>
        <w:t xml:space="preserve">18、投标截止日期</w:t>
      </w:r>
      <w:bookmarkEnd w:id="75"/>
      <w:r/>
      <w:bookmarkEnd w:id="76"/>
      <w:r/>
      <w:bookmarkEnd w:id="77"/>
      <w:r>
        <w:rPr>
          <w:rFonts w:ascii="宋体" w:hAnsi="宋体"/>
          <w:b/>
          <w:szCs w:val="21"/>
        </w:rPr>
      </w:r>
      <w:r/>
    </w:p>
    <w:p>
      <w:pPr>
        <w:pStyle w:val="1030"/>
        <w:ind w:firstLine="420"/>
        <w:spacing w:line="440" w:lineRule="exact"/>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1030"/>
        <w:ind w:firstLine="420"/>
        <w:spacing w:line="440" w:lineRule="exact"/>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1030"/>
        <w:ind w:firstLine="422"/>
        <w:spacing w:line="440" w:lineRule="exact"/>
        <w:rPr>
          <w:rFonts w:ascii="宋体" w:hAnsi="宋体"/>
          <w:b/>
          <w:szCs w:val="21"/>
        </w:rPr>
      </w:pPr>
      <w:r/>
      <w:bookmarkStart w:id="78" w:name="_Toc20823299"/>
      <w:r/>
      <w:bookmarkStart w:id="79" w:name="_Toc16938543"/>
      <w:r/>
      <w:bookmarkStart w:id="80" w:name="_Toc513029227"/>
      <w:r>
        <w:rPr>
          <w:rFonts w:hint="eastAsia" w:ascii="宋体" w:hAnsi="宋体"/>
          <w:b/>
          <w:szCs w:val="21"/>
        </w:rPr>
        <w:t xml:space="preserve">19、投标文件</w:t>
      </w:r>
      <w:bookmarkEnd w:id="78"/>
      <w:r/>
      <w:bookmarkEnd w:id="79"/>
      <w:r/>
      <w:bookmarkEnd w:id="80"/>
      <w:r>
        <w:rPr>
          <w:rFonts w:hint="eastAsia" w:ascii="宋体" w:hAnsi="宋体"/>
          <w:b/>
          <w:szCs w:val="21"/>
        </w:rPr>
        <w:t xml:space="preserve">的拒收</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1030"/>
        <w:ind w:firstLine="422"/>
        <w:spacing w:line="440" w:lineRule="exact"/>
        <w:rPr>
          <w:rFonts w:ascii="宋体" w:hAnsi="宋体"/>
          <w:b/>
          <w:szCs w:val="21"/>
        </w:rPr>
      </w:pPr>
      <w:r/>
      <w:bookmarkStart w:id="81" w:name="_Toc16938544"/>
      <w:r/>
      <w:bookmarkStart w:id="82" w:name="_Toc20823300"/>
      <w:r/>
      <w:bookmarkStart w:id="83" w:name="_Toc513029228"/>
      <w:r>
        <w:rPr>
          <w:rFonts w:hint="eastAsia" w:ascii="宋体" w:hAnsi="宋体"/>
          <w:b/>
          <w:szCs w:val="21"/>
        </w:rPr>
        <w:t xml:space="preserve">20、投标文件的撤回和修改</w:t>
      </w:r>
      <w:bookmarkEnd w:id="81"/>
      <w:r/>
      <w:bookmarkEnd w:id="82"/>
      <w:r/>
      <w:bookmarkEnd w:id="83"/>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21、开标</w:t>
      </w:r>
      <w:r>
        <w:rPr>
          <w:rFonts w:ascii="宋体" w:hAnsi="宋体"/>
          <w:b/>
          <w:szCs w:val="21"/>
        </w:rPr>
      </w:r>
      <w:r/>
    </w:p>
    <w:p>
      <w:pPr>
        <w:pStyle w:val="1030"/>
        <w:ind w:firstLine="420"/>
        <w:spacing w:line="360" w:lineRule="auto"/>
        <w:rPr>
          <w:rFonts w:hint="eastAsia"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hint="eastAsia" w:ascii="宋体" w:hAnsi="宋体"/>
          <w:bCs/>
          <w:szCs w:val="21"/>
        </w:rPr>
      </w:r>
      <w:r/>
    </w:p>
    <w:p>
      <w:pPr>
        <w:pStyle w:val="1030"/>
        <w:ind w:firstLine="420"/>
        <w:spacing w:line="360" w:lineRule="auto"/>
        <w:rPr>
          <w:rFonts w:hint="eastAsia" w:ascii="宋体" w:hAnsi="宋体"/>
          <w:bCs/>
          <w:szCs w:val="21"/>
        </w:rPr>
      </w:pPr>
      <w:r>
        <w:rPr>
          <w:rFonts w:hint="eastAsia" w:ascii="宋体" w:hAnsi="宋体"/>
          <w:bCs/>
          <w:szCs w:val="21"/>
        </w:rPr>
        <w:t xml:space="preserve">21.2开标仪式由代理机构组织。“政府采购管理交易系统（苏采云）”将自动对项目进行开标，并宣读各投标人的《开标一览表》。</w:t>
      </w:r>
      <w:r>
        <w:rPr>
          <w:rFonts w:hint="eastAsia" w:ascii="宋体" w:hAnsi="宋体"/>
          <w:bCs/>
          <w:szCs w:val="21"/>
        </w:rPr>
      </w:r>
      <w:r/>
    </w:p>
    <w:p>
      <w:pPr>
        <w:pStyle w:val="1030"/>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22、评标委员会</w:t>
      </w:r>
      <w:r>
        <w:rPr>
          <w:rFonts w:ascii="宋体" w:hAnsi="宋体"/>
          <w:b/>
          <w:szCs w:val="21"/>
        </w:rPr>
      </w:r>
      <w:r/>
    </w:p>
    <w:p>
      <w:pPr>
        <w:pStyle w:val="1030"/>
        <w:spacing w:line="440" w:lineRule="exact"/>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1030"/>
        <w:spacing w:line="440" w:lineRule="exact"/>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1030"/>
        <w:spacing w:line="440" w:lineRule="exact"/>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24、投标的澄清</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1030"/>
        <w:spacing w:line="440" w:lineRule="exact"/>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26.1.2 投标人未按照招标文件要求上传电子投标文件的。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26.1.4投标人不具备招标文件中规定资格要求的。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27.3代理机构将在“江苏省政府采购网”、“扬州市政府采购网”、“扬州市广陵区政府采购网”发布中标公告，公告期限为1个工作日。</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28、质疑处理</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1030"/>
        <w:ind w:firstLine="420"/>
        <w:spacing w:line="440" w:lineRule="exact"/>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r>
      <w:r/>
    </w:p>
    <w:p>
      <w:pPr>
        <w:pStyle w:val="1030"/>
        <w:ind w:firstLine="420"/>
        <w:spacing w:line="440" w:lineRule="exact"/>
        <w:rPr>
          <w:rFonts w:hint="eastAsia" w:ascii="宋体" w:hAnsi="宋体"/>
          <w:bCs/>
          <w:szCs w:val="21"/>
        </w:rPr>
      </w:pPr>
      <w:r>
        <w:rPr>
          <w:rFonts w:hint="eastAsia" w:ascii="宋体" w:hAnsi="宋体"/>
          <w:bCs/>
          <w:szCs w:val="21"/>
        </w:rPr>
        <w:t xml:space="preserve">28.2.2对采购过程提出质疑的，为各采购程序环节结束之日起7个工作日内提出。</w:t>
      </w:r>
      <w:r>
        <w:rPr>
          <w:rFonts w:hint="eastAsia"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28.2.3对中标结果提出质疑的，为中标结果公告期限届满之日起7个工作日内提出。</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29、中标通知书</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1030"/>
        <w:ind w:firstLine="422"/>
        <w:spacing w:line="440" w:lineRule="exact"/>
        <w:rPr>
          <w:rFonts w:ascii="宋体" w:hAnsi="宋体"/>
          <w:b/>
          <w:szCs w:val="21"/>
        </w:rPr>
      </w:pPr>
      <w:r>
        <w:rPr>
          <w:rFonts w:hint="eastAsia" w:ascii="宋体" w:hAnsi="宋体"/>
          <w:b/>
          <w:szCs w:val="21"/>
        </w:rPr>
        <w:t xml:space="preserve">30、 签订合同</w:t>
      </w:r>
      <w:r>
        <w:rPr>
          <w:rFonts w:ascii="宋体" w:hAnsi="宋体"/>
          <w:b/>
          <w:szCs w:val="21"/>
        </w:rPr>
      </w:r>
      <w:r/>
    </w:p>
    <w:p>
      <w:pPr>
        <w:pStyle w:val="1030"/>
        <w:ind w:firstLine="420"/>
        <w:spacing w:line="440" w:lineRule="exact"/>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1030"/>
        <w:ind w:firstLine="420"/>
        <w:spacing w:line="440" w:lineRule="exact"/>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1030"/>
        <w:ind w:firstLine="420"/>
        <w:spacing w:line="440" w:lineRule="exact"/>
        <w:rPr>
          <w:rFonts w:hint="eastAsia"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bCs/>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31、电子投标文件要求</w:t>
      </w:r>
      <w:r>
        <w:rPr>
          <w:rFonts w:hint="eastAsia" w:ascii="宋体" w:hAnsi="宋体"/>
          <w:b/>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hint="eastAsia" w:ascii="宋体" w:hAnsi="宋体"/>
          <w:b/>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hint="eastAsia" w:ascii="宋体" w:hAnsi="宋体"/>
          <w:b/>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31.3投标人应当对招标文件提出的要求和条件作出实质性响应，并在电子投标系统逐条应答。</w:t>
      </w:r>
      <w:r>
        <w:rPr>
          <w:rFonts w:hint="eastAsia" w:ascii="宋体" w:hAnsi="宋体"/>
          <w:b/>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rPr>
          <w:rFonts w:hint="eastAsia" w:ascii="宋体" w:hAnsi="宋体"/>
          <w:b/>
          <w:szCs w:val="21"/>
        </w:rPr>
      </w:r>
      <w:r/>
    </w:p>
    <w:p>
      <w:pPr>
        <w:pStyle w:val="1030"/>
        <w:numPr>
          <w:ilvl w:val="0"/>
          <w:numId w:val="8"/>
        </w:numPr>
        <w:ind w:firstLine="422"/>
        <w:spacing w:line="440" w:lineRule="exact"/>
        <w:rPr>
          <w:rFonts w:hint="eastAsia" w:ascii="宋体" w:hAnsi="宋体"/>
          <w:b/>
          <w:szCs w:val="21"/>
        </w:rPr>
      </w:pPr>
      <w:r>
        <w:rPr>
          <w:rFonts w:hint="eastAsia" w:ascii="宋体" w:hAnsi="宋体"/>
          <w:b/>
          <w:szCs w:val="21"/>
        </w:rPr>
        <w:t xml:space="preserve">提交投标文件的截止时间（投标截止时间）</w:t>
      </w:r>
      <w:r>
        <w:rPr>
          <w:rFonts w:hint="eastAsia" w:ascii="宋体" w:hAnsi="宋体"/>
          <w:b/>
          <w:szCs w:val="21"/>
        </w:rPr>
      </w:r>
      <w:r/>
    </w:p>
    <w:p>
      <w:pPr>
        <w:pStyle w:val="1030"/>
        <w:ind w:firstLine="422"/>
        <w:spacing w:line="440" w:lineRule="exact"/>
        <w:rPr>
          <w:rFonts w:hint="eastAsia"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rPr>
          <w:rFonts w:hint="eastAsia" w:ascii="宋体" w:hAnsi="宋体"/>
          <w:b/>
          <w:szCs w:val="21"/>
        </w:rPr>
      </w:r>
      <w:r/>
    </w:p>
    <w:p>
      <w:pPr>
        <w:pStyle w:val="1030"/>
        <w:ind w:firstLine="422"/>
        <w:spacing w:line="440" w:lineRule="exact"/>
      </w:pPr>
      <w:r>
        <w:rPr>
          <w:rFonts w:hint="eastAsia" w:ascii="宋体" w:hAnsi="宋体"/>
          <w:b/>
          <w:szCs w:val="21"/>
        </w:rPr>
        <w:t xml:space="preserve">32.2各投标人应在规定时间内凭CA证书进行网上解密。</w:t>
      </w:r>
      <w:r/>
    </w:p>
    <w:p>
      <w:pPr>
        <w:pStyle w:val="1030"/>
        <w:ind w:firstLine="420"/>
        <w:spacing w:line="440" w:lineRule="exact"/>
        <w:rPr>
          <w:rFonts w:hint="eastAsia" w:ascii="宋体" w:hAnsi="宋体" w:cs="宋体"/>
        </w:rPr>
      </w:pPr>
      <w:r>
        <w:rPr>
          <w:rFonts w:hint="eastAsia" w:ascii="宋体" w:hAnsi="宋体" w:cs="宋体"/>
        </w:rPr>
        <w:t xml:space="preserve">33、其他</w:t>
      </w:r>
      <w:r>
        <w:rPr>
          <w:rFonts w:hint="eastAsia" w:ascii="宋体" w:hAnsi="宋体" w:cs="宋体"/>
        </w:rPr>
      </w:r>
      <w:r/>
    </w:p>
    <w:p>
      <w:pPr>
        <w:pStyle w:val="1030"/>
        <w:ind w:firstLine="420"/>
        <w:spacing w:line="440" w:lineRule="exact"/>
        <w:rPr>
          <w:rFonts w:ascii="宋体" w:hAnsi="宋体"/>
          <w:bCs/>
          <w:szCs w:val="21"/>
        </w:rPr>
      </w:pPr>
      <w:r>
        <w:rPr>
          <w:rFonts w:hint="eastAsia" w:ascii="宋体" w:hAnsi="宋体" w:cs="宋体"/>
        </w:rPr>
        <w:t xml:space="preserve">33.1 </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1030"/>
        <w:ind w:firstLine="720"/>
        <w:spacing w:line="360" w:lineRule="auto"/>
        <w:rPr>
          <w:rFonts w:hint="eastAsia" w:ascii="宋体" w:hAnsi="宋体"/>
          <w:sz w:val="36"/>
        </w:rPr>
      </w:pPr>
      <w:r>
        <w:rPr>
          <w:rFonts w:hint="eastAsia" w:ascii="宋体" w:hAnsi="宋体"/>
          <w:sz w:val="36"/>
        </w:rPr>
      </w:r>
      <w:r/>
    </w:p>
    <w:p>
      <w:pPr>
        <w:pStyle w:val="1067"/>
        <w:ind w:firstLine="210"/>
        <w:spacing w:before="120" w:after="120" w:line="360" w:lineRule="auto"/>
        <w:rPr>
          <w:rFonts w:hint="eastAsia" w:hAnsi="宋体" w:cs="宋体"/>
          <w:sz w:val="21"/>
        </w:rPr>
        <w:sectPr>
          <w:footnotePr/>
          <w:endnotePr/>
          <w:type w:val="nextPage"/>
          <w:pgSz w:w="11906" w:h="16838" w:orient="portrait"/>
          <w:pgMar w:top="1440" w:right="1800" w:bottom="1440" w:left="1800" w:header="851" w:footer="992" w:gutter="0"/>
          <w:cols w:num="1" w:sep="0" w:space="1701" w:equalWidth="1"/>
          <w:docGrid w:linePitch="360"/>
        </w:sectPr>
      </w:pPr>
      <w:r/>
      <w:bookmarkEnd w:id="35"/>
      <w:r>
        <w:rPr>
          <w:rFonts w:hint="eastAsia" w:hAnsi="宋体" w:cs="宋体"/>
          <w:sz w:val="21"/>
        </w:rPr>
      </w:r>
      <w:r/>
    </w:p>
    <w:p>
      <w:pPr>
        <w:pStyle w:val="1031"/>
        <w:jc w:val="center"/>
        <w:spacing w:line="240" w:lineRule="auto"/>
        <w:rPr>
          <w:rFonts w:hint="eastAsia" w:ascii="宋体" w:hAnsi="宋体"/>
          <w:sz w:val="36"/>
        </w:rPr>
      </w:pPr>
      <w:r/>
      <w:bookmarkStart w:id="84" w:name="_Toc497133093"/>
      <w:r>
        <w:rPr>
          <w:rFonts w:hint="eastAsia" w:ascii="宋体" w:hAnsi="宋体"/>
          <w:sz w:val="36"/>
        </w:rPr>
        <w:t xml:space="preserve">第三章 合同条款及格式</w:t>
      </w:r>
      <w:r>
        <w:rPr>
          <w:rFonts w:hint="eastAsia" w:ascii="宋体" w:hAnsi="宋体"/>
          <w:sz w:val="36"/>
        </w:rPr>
      </w:r>
      <w:r/>
    </w:p>
    <w:p>
      <w:pPr>
        <w:pStyle w:val="1067"/>
        <w:spacing w:before="120" w:after="120" w:line="360" w:lineRule="auto"/>
        <w:rPr>
          <w:rFonts w:hint="eastAsia" w:hAnsi="宋体" w:cs="宋体"/>
          <w:sz w:val="21"/>
        </w:rPr>
      </w:pPr>
      <w:r/>
      <w:bookmarkStart w:id="85" w:name="_Hlt16619369"/>
      <w:r/>
      <w:bookmarkEnd w:id="85"/>
      <w:r>
        <w:rPr>
          <w:rFonts w:hint="eastAsia" w:hAnsi="宋体" w:cs="宋体"/>
          <w:sz w:val="21"/>
        </w:rPr>
        <w:t xml:space="preserve">以下为中标后签定本项目合同的条款，中标供应商不得作实质性修改。</w:t>
      </w:r>
      <w:r>
        <w:rPr>
          <w:rFonts w:hint="eastAsia" w:hAnsi="宋体" w:cs="宋体"/>
          <w:sz w:val="21"/>
        </w:rPr>
      </w:r>
      <w:r/>
    </w:p>
    <w:p>
      <w:pPr>
        <w:pStyle w:val="1030"/>
        <w:tabs>
          <w:tab w:val="left" w:pos="540" w:leader="none"/>
        </w:tabs>
        <w:rPr>
          <w:color w:val="000000"/>
          <w:sz w:val="28"/>
        </w:rPr>
      </w:pPr>
      <w:r>
        <w:rPr>
          <w:color w:val="000000"/>
          <w:sz w:val="28"/>
        </w:rPr>
      </w:r>
      <w:r/>
    </w:p>
    <w:p>
      <w:pPr>
        <w:pStyle w:val="1030"/>
        <w:jc w:val="center"/>
        <w:spacing w:line="360" w:lineRule="auto"/>
        <w:widowControl/>
        <w:rPr>
          <w:rFonts w:hint="eastAsia"/>
          <w:spacing w:val="20"/>
          <w:szCs w:val="21"/>
        </w:rPr>
      </w:pPr>
      <w:r>
        <w:rPr>
          <w:rFonts w:hint="eastAsia" w:ascii="宋体" w:hAnsi="宋体" w:cs="宋体"/>
          <w:b/>
          <w:bCs/>
          <w:sz w:val="56"/>
          <w:szCs w:val="56"/>
        </w:rPr>
        <w:t xml:space="preserve">扬州市广陵区行政审批中心集中办公区能源费用托管服务合同</w:t>
      </w:r>
      <w:r>
        <w:rPr>
          <w:b/>
          <w:sz w:val="36"/>
          <w:szCs w:val="36"/>
        </w:rPr>
        <w:br w:type="page" w:clear="all"/>
      </w:r>
      <w:r>
        <w:rPr>
          <w:rFonts w:hint="eastAsia"/>
          <w:spacing w:val="20"/>
          <w:szCs w:val="21"/>
        </w:rPr>
      </w:r>
      <w:r/>
    </w:p>
    <w:tbl>
      <w:tblPr>
        <w:tblW w:w="4672" w:type="pct"/>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746"/>
        <w:gridCol w:w="1966"/>
        <w:gridCol w:w="1879"/>
        <w:gridCol w:w="1485"/>
        <w:gridCol w:w="1704"/>
      </w:tblGrid>
      <w:tr>
        <w:trPr>
          <w:trHeight w:val="404"/>
        </w:trPr>
        <w:tc>
          <w:tcPr>
            <w:tcW w:w="480" w:type="dxa"/>
            <w:vAlign w:val="center"/>
            <w:vMerge w:val="restart"/>
            <w:textDirection w:val="tbRlV"/>
            <w:noWrap w:val="false"/>
          </w:tcPr>
          <w:p>
            <w:pPr>
              <w:pStyle w:val="1030"/>
              <w:jc w:val="center"/>
              <w:spacing w:line="500" w:lineRule="exact"/>
              <w:rPr>
                <w:rFonts w:ascii="宋体" w:hAnsi="宋体"/>
                <w:szCs w:val="21"/>
              </w:rPr>
            </w:pPr>
            <w:r>
              <w:rPr>
                <w:rFonts w:ascii="宋体" w:hAnsi="宋体"/>
                <w:szCs w:val="21"/>
              </w:rPr>
              <w:t xml:space="preserve">甲方︵</w:t>
            </w:r>
            <w:r>
              <w:rPr>
                <w:rFonts w:hint="eastAsia" w:ascii="宋体" w:hAnsi="宋体"/>
                <w:szCs w:val="21"/>
              </w:rPr>
              <w:t xml:space="preserve">公共机构</w:t>
            </w:r>
            <w:r>
              <w:rPr>
                <w:rFonts w:ascii="宋体" w:hAnsi="宋体"/>
                <w:szCs w:val="21"/>
              </w:rPr>
              <w:t xml:space="preserve">︶</w:t>
            </w: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单位名称</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409"/>
        </w:trPr>
        <w:tc>
          <w:tcPr>
            <w:tcW w:w="480" w:type="dxa"/>
            <w:vAlign w:val="top"/>
            <w:vMerge w:val="continue"/>
            <w:textDirection w:val="lrTb"/>
            <w:noWrap w:val="false"/>
          </w:tcPr>
          <w:p>
            <w:pPr>
              <w:pStyle w:val="1030"/>
              <w:jc w:val="center"/>
              <w:spacing w:line="500" w:lineRule="exact"/>
              <w:rPr>
                <w:rFonts w:ascii="宋体" w:hAnsi="宋体"/>
                <w:szCs w:val="21"/>
              </w:rPr>
            </w:pP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注册地址</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248"/>
        </w:trPr>
        <w:tc>
          <w:tcPr>
            <w:tcW w:w="480" w:type="dxa"/>
            <w:vAlign w:val="top"/>
            <w:vMerge w:val="continue"/>
            <w:textDirection w:val="lrTb"/>
            <w:noWrap w:val="false"/>
          </w:tcPr>
          <w:p>
            <w:pPr>
              <w:pStyle w:val="1030"/>
              <w:jc w:val="center"/>
              <w:spacing w:line="500" w:lineRule="exact"/>
              <w:rPr>
                <w:rFonts w:ascii="宋体" w:hAnsi="宋体"/>
                <w:szCs w:val="21"/>
              </w:rPr>
            </w:pP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通信地址</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409"/>
        </w:trPr>
        <w:tc>
          <w:tcPr>
            <w:tcW w:w="480" w:type="dxa"/>
            <w:vAlign w:val="top"/>
            <w:vMerge w:val="continue"/>
            <w:textDirection w:val="lrTb"/>
            <w:noWrap w:val="false"/>
          </w:tcPr>
          <w:p>
            <w:pPr>
              <w:pStyle w:val="1030"/>
              <w:jc w:val="center"/>
              <w:spacing w:line="500" w:lineRule="exact"/>
              <w:rPr>
                <w:rFonts w:ascii="宋体" w:hAnsi="宋体"/>
                <w:szCs w:val="21"/>
              </w:rPr>
            </w:pP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统一社会信用代码</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409"/>
        </w:trPr>
        <w:tc>
          <w:tcPr>
            <w:tcW w:w="480" w:type="dxa"/>
            <w:vAlign w:val="top"/>
            <w:vMerge w:val="continue"/>
            <w:textDirection w:val="lrTb"/>
            <w:noWrap w:val="false"/>
          </w:tcPr>
          <w:p>
            <w:pPr>
              <w:pStyle w:val="1030"/>
              <w:jc w:val="center"/>
              <w:spacing w:line="500" w:lineRule="exact"/>
              <w:rPr>
                <w:rFonts w:ascii="宋体" w:hAnsi="宋体"/>
                <w:szCs w:val="21"/>
              </w:rPr>
            </w:pP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法定代表人</w:t>
            </w:r>
            <w:r>
              <w:rPr>
                <w:rFonts w:ascii="宋体" w:hAnsi="宋体"/>
                <w:szCs w:val="21"/>
                <w:lang w:eastAsia="en-US"/>
              </w:rPr>
            </w:r>
            <w:r/>
          </w:p>
        </w:tc>
        <w:tc>
          <w:tcPr>
            <w:tcW w:w="1207"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c>
          <w:tcPr>
            <w:tcW w:w="954"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委托代理人</w:t>
            </w:r>
            <w:r>
              <w:rPr>
                <w:rFonts w:ascii="宋体" w:hAnsi="宋体"/>
                <w:szCs w:val="21"/>
                <w:lang w:eastAsia="en-US"/>
              </w:rPr>
            </w:r>
            <w:r/>
          </w:p>
        </w:tc>
        <w:tc>
          <w:tcPr>
            <w:tcW w:w="1095" w:type="dxa"/>
            <w:vAlign w:val="top"/>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r>
      <w:tr>
        <w:trPr>
          <w:trHeight w:val="409"/>
        </w:trPr>
        <w:tc>
          <w:tcPr>
            <w:tcW w:w="480" w:type="dxa"/>
            <w:vAlign w:val="top"/>
            <w:vMerge w:val="continue"/>
            <w:textDirection w:val="lrTb"/>
            <w:noWrap w:val="false"/>
          </w:tcPr>
          <w:p>
            <w:pPr>
              <w:pStyle w:val="1030"/>
              <w:jc w:val="center"/>
              <w:spacing w:line="500" w:lineRule="exact"/>
              <w:rPr>
                <w:rFonts w:ascii="宋体" w:hAnsi="宋体"/>
                <w:szCs w:val="21"/>
              </w:rPr>
            </w:pP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联系人</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409"/>
        </w:trPr>
        <w:tc>
          <w:tcPr>
            <w:tcW w:w="480" w:type="dxa"/>
            <w:vAlign w:val="top"/>
            <w:vMerge w:val="continue"/>
            <w:textDirection w:val="lrTb"/>
            <w:noWrap w:val="false"/>
          </w:tcPr>
          <w:p>
            <w:pPr>
              <w:pStyle w:val="1030"/>
              <w:jc w:val="center"/>
              <w:spacing w:line="500" w:lineRule="exact"/>
              <w:rPr>
                <w:rFonts w:ascii="宋体" w:hAnsi="宋体"/>
                <w:szCs w:val="21"/>
              </w:rPr>
            </w:pP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电话</w:t>
            </w:r>
            <w:r>
              <w:rPr>
                <w:rFonts w:ascii="宋体" w:hAnsi="宋体"/>
                <w:szCs w:val="21"/>
                <w:lang w:eastAsia="en-US"/>
              </w:rPr>
            </w:r>
            <w:r/>
          </w:p>
        </w:tc>
        <w:tc>
          <w:tcPr>
            <w:tcW w:w="1207"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c>
          <w:tcPr>
            <w:tcW w:w="954"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传真</w:t>
            </w:r>
            <w:r>
              <w:rPr>
                <w:rFonts w:ascii="宋体" w:hAnsi="宋体"/>
                <w:szCs w:val="21"/>
                <w:lang w:eastAsia="en-US"/>
              </w:rPr>
            </w:r>
            <w:r/>
          </w:p>
        </w:tc>
        <w:tc>
          <w:tcPr>
            <w:tcW w:w="1095" w:type="dxa"/>
            <w:vAlign w:val="top"/>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r>
      <w:tr>
        <w:trPr>
          <w:trHeight w:val="409"/>
        </w:trPr>
        <w:tc>
          <w:tcPr>
            <w:tcW w:w="480" w:type="dxa"/>
            <w:vAlign w:val="top"/>
            <w:vMerge w:val="continue"/>
            <w:textDirection w:val="lrTb"/>
            <w:noWrap w:val="false"/>
          </w:tcPr>
          <w:p>
            <w:pPr>
              <w:pStyle w:val="1030"/>
              <w:jc w:val="center"/>
              <w:spacing w:line="500" w:lineRule="exact"/>
              <w:rPr>
                <w:rFonts w:ascii="宋体" w:hAnsi="宋体"/>
                <w:szCs w:val="21"/>
              </w:rPr>
            </w:pP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电子邮箱</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409"/>
        </w:trPr>
        <w:tc>
          <w:tcPr>
            <w:tcW w:w="480" w:type="dxa"/>
            <w:vAlign w:val="top"/>
            <w:vMerge w:val="continue"/>
            <w:textDirection w:val="lrTb"/>
            <w:noWrap w:val="false"/>
          </w:tcPr>
          <w:p>
            <w:pPr>
              <w:pStyle w:val="1030"/>
              <w:jc w:val="center"/>
              <w:spacing w:line="500" w:lineRule="exact"/>
              <w:rPr>
                <w:rFonts w:ascii="宋体" w:hAnsi="宋体"/>
                <w:szCs w:val="21"/>
              </w:rPr>
            </w:pP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开户银行</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409"/>
        </w:trPr>
        <w:tc>
          <w:tcPr>
            <w:tcW w:w="480" w:type="dxa"/>
            <w:vAlign w:val="top"/>
            <w:vMerge w:val="continue"/>
            <w:textDirection w:val="lrTb"/>
            <w:noWrap w:val="false"/>
          </w:tcPr>
          <w:p>
            <w:pPr>
              <w:pStyle w:val="1030"/>
              <w:jc w:val="center"/>
              <w:spacing w:line="500" w:lineRule="exact"/>
              <w:rPr>
                <w:rFonts w:ascii="宋体" w:hAnsi="宋体"/>
                <w:szCs w:val="21"/>
              </w:rPr>
            </w:pP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hint="eastAsia" w:ascii="宋体" w:hAnsi="宋体"/>
                <w:szCs w:val="21"/>
              </w:rPr>
              <w:t xml:space="preserve">帐</w:t>
            </w:r>
            <w:r>
              <w:rPr>
                <w:rFonts w:ascii="宋体" w:hAnsi="宋体"/>
                <w:szCs w:val="21"/>
              </w:rPr>
              <w:t xml:space="preserve">号</w:t>
            </w:r>
            <w:r>
              <w:rPr>
                <w:rFonts w:ascii="宋体" w:hAnsi="宋体"/>
                <w:szCs w:val="21"/>
                <w:lang w:eastAsia="en-US"/>
              </w:rPr>
            </w:r>
            <w:r/>
          </w:p>
        </w:tc>
        <w:tc>
          <w:tcPr>
            <w:tcW w:w="1207"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c>
          <w:tcPr>
            <w:tcW w:w="954"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税号</w:t>
            </w:r>
            <w:r>
              <w:rPr>
                <w:rFonts w:ascii="宋体" w:hAnsi="宋体"/>
                <w:szCs w:val="21"/>
                <w:lang w:eastAsia="en-US"/>
              </w:rPr>
            </w:r>
            <w:r/>
          </w:p>
        </w:tc>
        <w:tc>
          <w:tcPr>
            <w:tcW w:w="1095" w:type="dxa"/>
            <w:vAlign w:val="top"/>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r>
      <w:tr>
        <w:trPr>
          <w:trHeight w:val="404"/>
        </w:trPr>
        <w:tc>
          <w:tcPr>
            <w:tcW w:w="480" w:type="dxa"/>
            <w:vAlign w:val="center"/>
            <w:vMerge w:val="restart"/>
            <w:textDirection w:val="tbRlV"/>
            <w:noWrap w:val="false"/>
          </w:tcPr>
          <w:p>
            <w:pPr>
              <w:pStyle w:val="1030"/>
              <w:jc w:val="center"/>
              <w:spacing w:line="500" w:lineRule="exact"/>
              <w:rPr>
                <w:rFonts w:ascii="宋体" w:hAnsi="宋体"/>
                <w:szCs w:val="21"/>
              </w:rPr>
            </w:pPr>
            <w:r>
              <w:rPr>
                <w:rFonts w:ascii="宋体" w:hAnsi="宋体"/>
                <w:szCs w:val="21"/>
              </w:rPr>
              <w:t xml:space="preserve">乙方︵节能服务公司︶</w:t>
            </w:r>
            <w:r>
              <w:rPr>
                <w:rFonts w:ascii="宋体" w:hAnsi="宋体"/>
                <w:szCs w:val="21"/>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单位名称</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注册地址</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通信地址</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tabs>
                <w:tab w:val="center" w:pos="1729" w:leader="none"/>
              </w:tabs>
              <w:rPr>
                <w:rFonts w:ascii="宋体" w:hAnsi="宋体"/>
                <w:szCs w:val="21"/>
                <w:lang w:eastAsia="en-US"/>
              </w:rPr>
            </w:pPr>
            <w:r>
              <w:rPr>
                <w:rFonts w:ascii="宋体" w:hAnsi="宋体"/>
                <w:szCs w:val="21"/>
              </w:rPr>
              <w:t xml:space="preserve">统一社会信用代码</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法定代表人</w:t>
            </w:r>
            <w:r>
              <w:rPr>
                <w:rFonts w:ascii="宋体" w:hAnsi="宋体"/>
                <w:szCs w:val="21"/>
                <w:lang w:eastAsia="en-US"/>
              </w:rPr>
            </w:r>
            <w:r/>
          </w:p>
        </w:tc>
        <w:tc>
          <w:tcPr>
            <w:tcW w:w="1207"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c>
          <w:tcPr>
            <w:tcW w:w="954"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委托代理人</w:t>
            </w:r>
            <w:r>
              <w:rPr>
                <w:rFonts w:ascii="宋体" w:hAnsi="宋体"/>
                <w:szCs w:val="21"/>
                <w:lang w:eastAsia="en-US"/>
              </w:rPr>
            </w:r>
            <w:r/>
          </w:p>
        </w:tc>
        <w:tc>
          <w:tcPr>
            <w:tcW w:w="1095" w:type="dxa"/>
            <w:vAlign w:val="top"/>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联系人</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通信地址</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电话</w:t>
            </w:r>
            <w:r>
              <w:rPr>
                <w:rFonts w:ascii="宋体" w:hAnsi="宋体"/>
                <w:szCs w:val="21"/>
                <w:lang w:eastAsia="en-US"/>
              </w:rPr>
            </w:r>
            <w:r/>
          </w:p>
        </w:tc>
        <w:tc>
          <w:tcPr>
            <w:tcW w:w="1207"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c>
          <w:tcPr>
            <w:tcW w:w="954"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传真</w:t>
            </w:r>
            <w:r>
              <w:rPr>
                <w:rFonts w:ascii="宋体" w:hAnsi="宋体"/>
                <w:szCs w:val="21"/>
                <w:lang w:eastAsia="en-US"/>
              </w:rPr>
            </w:r>
            <w:r/>
          </w:p>
        </w:tc>
        <w:tc>
          <w:tcPr>
            <w:tcW w:w="1095" w:type="dxa"/>
            <w:vAlign w:val="top"/>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电子邮箱</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开户银行</w:t>
            </w:r>
            <w:r>
              <w:rPr>
                <w:rFonts w:ascii="宋体" w:hAnsi="宋体"/>
                <w:szCs w:val="21"/>
                <w:lang w:eastAsia="en-US"/>
              </w:rPr>
            </w:r>
            <w:r/>
          </w:p>
        </w:tc>
        <w:tc>
          <w:tcPr>
            <w:gridSpan w:val="3"/>
            <w:tcW w:w="5068"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r>
      <w:tr>
        <w:trPr>
          <w:trHeight w:val="399"/>
        </w:trPr>
        <w:tc>
          <w:tcPr>
            <w:tcW w:w="480" w:type="dxa"/>
            <w:vAlign w:val="top"/>
            <w:vMerge w:val="continue"/>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c>
          <w:tcPr>
            <w:tcW w:w="1263" w:type="dxa"/>
            <w:vAlign w:val="top"/>
            <w:textDirection w:val="lrTb"/>
            <w:noWrap w:val="false"/>
          </w:tcPr>
          <w:p>
            <w:pPr>
              <w:pStyle w:val="1030"/>
              <w:jc w:val="center"/>
              <w:spacing w:line="500" w:lineRule="exact"/>
              <w:rPr>
                <w:rFonts w:ascii="宋体" w:hAnsi="宋体"/>
                <w:szCs w:val="21"/>
                <w:lang w:eastAsia="en-US"/>
              </w:rPr>
            </w:pPr>
            <w:r>
              <w:rPr>
                <w:rFonts w:hint="eastAsia" w:ascii="宋体" w:hAnsi="宋体"/>
                <w:szCs w:val="21"/>
              </w:rPr>
              <w:t xml:space="preserve">帐</w:t>
            </w:r>
            <w:r>
              <w:rPr>
                <w:rFonts w:ascii="宋体" w:hAnsi="宋体"/>
                <w:szCs w:val="21"/>
              </w:rPr>
              <w:t xml:space="preserve">号</w:t>
            </w:r>
            <w:r>
              <w:rPr>
                <w:rFonts w:ascii="宋体" w:hAnsi="宋体"/>
                <w:szCs w:val="21"/>
                <w:lang w:eastAsia="en-US"/>
              </w:rPr>
            </w:r>
            <w:r/>
          </w:p>
        </w:tc>
        <w:tc>
          <w:tcPr>
            <w:tcW w:w="1207" w:type="dxa"/>
            <w:vAlign w:val="top"/>
            <w:textDirection w:val="lrTb"/>
            <w:noWrap w:val="false"/>
          </w:tcPr>
          <w:p>
            <w:pPr>
              <w:pStyle w:val="1030"/>
              <w:ind w:firstLine="560"/>
              <w:jc w:val="center"/>
              <w:spacing w:line="500" w:lineRule="exact"/>
              <w:rPr>
                <w:rFonts w:ascii="宋体" w:hAnsi="宋体"/>
                <w:szCs w:val="21"/>
                <w:lang w:eastAsia="en-US"/>
              </w:rPr>
            </w:pPr>
            <w:r>
              <w:rPr>
                <w:rFonts w:ascii="宋体" w:hAnsi="宋体"/>
                <w:szCs w:val="21"/>
                <w:lang w:eastAsia="en-US"/>
              </w:rPr>
            </w:r>
            <w:r/>
          </w:p>
        </w:tc>
        <w:tc>
          <w:tcPr>
            <w:tcW w:w="954" w:type="dxa"/>
            <w:vAlign w:val="top"/>
            <w:textDirection w:val="lrTb"/>
            <w:noWrap w:val="false"/>
          </w:tcPr>
          <w:p>
            <w:pPr>
              <w:pStyle w:val="1030"/>
              <w:jc w:val="center"/>
              <w:spacing w:line="500" w:lineRule="exact"/>
              <w:rPr>
                <w:rFonts w:ascii="宋体" w:hAnsi="宋体"/>
                <w:szCs w:val="21"/>
                <w:lang w:eastAsia="en-US"/>
              </w:rPr>
            </w:pPr>
            <w:r>
              <w:rPr>
                <w:rFonts w:ascii="宋体" w:hAnsi="宋体"/>
                <w:szCs w:val="21"/>
              </w:rPr>
              <w:t xml:space="preserve">税号</w:t>
            </w:r>
            <w:r>
              <w:rPr>
                <w:rFonts w:ascii="宋体" w:hAnsi="宋体"/>
                <w:szCs w:val="21"/>
                <w:lang w:eastAsia="en-US"/>
              </w:rPr>
            </w:r>
            <w:r/>
          </w:p>
        </w:tc>
        <w:tc>
          <w:tcPr>
            <w:tcW w:w="1095" w:type="dxa"/>
            <w:vAlign w:val="top"/>
            <w:textDirection w:val="lrTb"/>
            <w:noWrap w:val="false"/>
          </w:tcPr>
          <w:p>
            <w:pPr>
              <w:pStyle w:val="1030"/>
              <w:ind w:firstLine="560"/>
              <w:spacing w:line="500" w:lineRule="exact"/>
              <w:rPr>
                <w:rFonts w:ascii="宋体" w:hAnsi="宋体"/>
                <w:szCs w:val="21"/>
                <w:lang w:eastAsia="en-US"/>
              </w:rPr>
            </w:pPr>
            <w:r>
              <w:rPr>
                <w:rFonts w:ascii="宋体" w:hAnsi="宋体"/>
                <w:szCs w:val="21"/>
                <w:lang w:eastAsia="en-US"/>
              </w:rPr>
            </w:r>
            <w:r/>
          </w:p>
        </w:tc>
      </w:tr>
    </w:tbl>
    <w:p>
      <w:pPr>
        <w:pStyle w:val="1030"/>
        <w:ind w:firstLine="420"/>
        <w:spacing w:line="360" w:lineRule="auto"/>
        <w:rPr>
          <w:rFonts w:hint="eastAsia" w:ascii="宋体" w:hAnsi="宋体"/>
          <w:szCs w:val="21"/>
        </w:rPr>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End w:id="84"/>
      <w:r/>
      <w:bookmarkStart w:id="86" w:name="_Toc497133122"/>
      <w:r>
        <w:rPr>
          <w:rFonts w:hint="eastAsia"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公共机构（以下简称甲方）与节能服务公司（以下简称乙方），根据《中华人民共和国民法典》《中华人民共和国政府采购法》《公共机构节能条例》及有关节能、环保、供热、供电、供水等法律、法规，本着平等、自愿的原则，就甲方的能源费用及其相应的能源供用系统（以下简称托管项目）按“能源费用托管型合同能源管理”模式进行托管的事宜，经双方协商一致，签订本合同（以下简称项目合同）。</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第一条名词解释</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合同能源管理</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.2  </w:t>
      </w:r>
      <w:r>
        <w:rPr>
          <w:rFonts w:hint="eastAsia" w:ascii="宋体" w:hAnsi="宋体"/>
          <w:szCs w:val="21"/>
        </w:rPr>
        <w:t xml:space="preserve">能源托管</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.3  </w:t>
      </w:r>
      <w:r>
        <w:rPr>
          <w:rFonts w:hint="eastAsia" w:ascii="宋体" w:hAnsi="宋体"/>
          <w:szCs w:val="21"/>
        </w:rPr>
        <w:t xml:space="preserve">能源基准</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用作比较能源绩效的定量参考依据。</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注 1：能源基准反映的是特定时间段的能源利用状况。</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注 2：能源基准可采用建筑能源审计所确定的基准期内、项目边界内建筑或各用能设备（系统）的能源消耗量作为能源绩效参数。</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注 3：能源基准也可作为能源绩效改进措施实施前后的参照来计算节能量。</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  </w:t>
      </w:r>
      <w:r>
        <w:rPr>
          <w:rFonts w:hint="eastAsia" w:ascii="宋体" w:hAnsi="宋体"/>
          <w:szCs w:val="21"/>
        </w:rPr>
        <w:t xml:space="preserve">建筑能源审计</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.5  </w:t>
      </w:r>
      <w:r>
        <w:rPr>
          <w:rFonts w:hint="eastAsia" w:ascii="宋体" w:hAnsi="宋体"/>
          <w:szCs w:val="21"/>
        </w:rPr>
        <w:t xml:space="preserve">项目边界</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实施节能改造措施所影响的建筑或用能设备（系统）的运行时间、范围和地理位置界线。</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.6  </w:t>
      </w:r>
      <w:r>
        <w:rPr>
          <w:rFonts w:hint="eastAsia" w:ascii="宋体" w:hAnsi="宋体"/>
          <w:szCs w:val="21"/>
        </w:rPr>
        <w:t xml:space="preserve">基准期</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在建筑合同能源管理项目实施前，能够代表项目边界内用能设备和系统运行规律的时间段。</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.7  </w:t>
      </w:r>
      <w:r>
        <w:rPr>
          <w:rFonts w:hint="eastAsia" w:ascii="宋体" w:hAnsi="宋体"/>
          <w:szCs w:val="21"/>
        </w:rPr>
        <w:t xml:space="preserve">能源托管费用基数</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能源托管项目根据能源基准和项目服务范围确定的年度能源托管费用，可包括能源费用基数和运行管理及维护费用基数等。其中，能源费用基数是指公共机构在基准期所花费的能源费用；运行管理及维护费用基数是根据能源托管范围中所包含的能源系统运行、管理、维护维修范围确定的年度费用。</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第二条托管项目基本情况</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  </w:t>
      </w:r>
      <w:r>
        <w:rPr>
          <w:rFonts w:hint="eastAsia" w:ascii="宋体" w:hAnsi="宋体"/>
          <w:szCs w:val="21"/>
        </w:rPr>
        <w:t xml:space="preserve">托管项目的房屋建筑设施系甲方的经营办公场所，位于</w:t>
      </w:r>
      <w:r>
        <w:rPr>
          <w:rFonts w:hint="eastAsia" w:ascii="宋体" w:hAnsi="宋体"/>
          <w:szCs w:val="21"/>
          <w:u w:val="single"/>
        </w:rPr>
        <w:t xml:space="preserve">      </w:t>
      </w:r>
      <w:r>
        <w:rPr>
          <w:rFonts w:hint="eastAsia" w:ascii="宋体" w:hAnsi="宋体"/>
          <w:szCs w:val="21"/>
        </w:rPr>
        <w:t xml:space="preserve">，相关建设、运营等手续合法、有效。托管项目区域内的供暖及制冷系统各项申报、批准、验收手续齐全。如果上述手续尚不齐备，由甲方负责完善。</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2.2 托管项目的用能建筑情况：本项目建筑主要有栋，楼栋建筑面积为</w:t>
      </w:r>
      <w:r>
        <w:rPr>
          <w:rFonts w:hint="eastAsia" w:ascii="宋体" w:hAnsi="宋体"/>
          <w:szCs w:val="21"/>
          <w:u w:val="single"/>
        </w:rPr>
        <w:t xml:space="preserve">   </w:t>
      </w:r>
      <w:r>
        <w:rPr>
          <w:rFonts w:hint="eastAsia" w:ascii="宋体" w:hAnsi="宋体"/>
          <w:szCs w:val="21"/>
        </w:rPr>
        <w:t xml:space="preserve">㎡。项目总建筑面积为</w:t>
      </w:r>
      <w:r>
        <w:rPr>
          <w:rFonts w:hint="eastAsia" w:ascii="宋体" w:hAnsi="宋体"/>
          <w:szCs w:val="21"/>
          <w:u w:val="single"/>
        </w:rPr>
        <w:t xml:space="preserve">   </w:t>
      </w:r>
      <w:r>
        <w:rPr>
          <w:rFonts w:hint="eastAsia" w:ascii="宋体" w:hAnsi="宋体"/>
          <w:szCs w:val="21"/>
        </w:rPr>
        <w:t xml:space="preserve">㎡，其中需要供暖和供冷的建筑面积</w:t>
      </w:r>
      <w:r>
        <w:rPr>
          <w:rFonts w:hint="eastAsia" w:ascii="宋体" w:hAnsi="宋体"/>
          <w:szCs w:val="21"/>
          <w:u w:val="single"/>
        </w:rPr>
        <w:t xml:space="preserve">   </w:t>
      </w:r>
      <w:r>
        <w:rPr>
          <w:rFonts w:hint="eastAsia" w:ascii="宋体" w:hAnsi="宋体"/>
          <w:szCs w:val="21"/>
        </w:rPr>
        <w:t xml:space="preserve">㎡。大楼于年竣工并投入使用。</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2.3 托管项目的能源种类范围：本项目能源托管的范围包括政府自行缴纳费用的等能源形式，政府其他能源费用不在本次托管范围内。</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2.4 托管项目的能源系统设备设施：供能设备包括供暖设备、制冷设备、配电室设备、</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用能设备包括冬季取暖供热、夏季空调供冷的建筑设施，生活、生产、工作用电等设施。</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.5  托管项目的用能时间及要求</w:t>
      </w:r>
      <w:r>
        <w:rPr>
          <w:rFonts w:ascii="宋体" w:hAnsi="宋体"/>
          <w:szCs w:val="21"/>
        </w:rPr>
      </w:r>
      <w:r/>
    </w:p>
    <w:tbl>
      <w:tblPr>
        <w:tblW w:w="453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408"/>
        <w:gridCol w:w="1328"/>
        <w:gridCol w:w="1303"/>
        <w:gridCol w:w="1558"/>
        <w:gridCol w:w="1132"/>
      </w:tblGrid>
      <w:tr>
        <w:trPr>
          <w:trHeight w:val="270"/>
        </w:trPr>
        <w:tc>
          <w:tcPr>
            <w:tcBorders>
              <w:top w:val="single" w:color="000000" w:sz="4" w:space="0"/>
              <w:left w:val="single" w:color="000000" w:sz="4" w:space="0"/>
              <w:bottom w:val="single" w:color="000000" w:sz="4" w:space="0"/>
              <w:right w:val="single" w:color="000000" w:sz="4" w:space="0"/>
            </w:tcBorders>
            <w:tcW w:w="1558" w:type="dxa"/>
            <w:vAlign w:val="top"/>
            <w:textDirection w:val="lrTb"/>
            <w:noWrap/>
          </w:tcPr>
          <w:p>
            <w:pPr>
              <w:pStyle w:val="1030"/>
              <w:jc w:val="center"/>
              <w:widowControl/>
              <w:rPr>
                <w:rFonts w:ascii="宋体" w:hAnsi="宋体" w:cs="宋体"/>
                <w:szCs w:val="21"/>
              </w:rPr>
            </w:pPr>
            <w:r>
              <w:rPr>
                <w:rFonts w:hint="eastAsia" w:ascii="宋体" w:hAnsi="宋体"/>
                <w:szCs w:val="21"/>
              </w:rPr>
              <w:t xml:space="preserve">供冷时间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8" w:type="dxa"/>
            <w:vAlign w:val="top"/>
            <w:textDirection w:val="lrTb"/>
            <w:noWrap/>
          </w:tcPr>
          <w:p>
            <w:pPr>
              <w:pStyle w:val="1030"/>
              <w:jc w:val="center"/>
              <w:widowControl/>
              <w:rPr>
                <w:rFonts w:ascii="宋体" w:hAnsi="宋体" w:cs="宋体"/>
                <w:szCs w:val="21"/>
              </w:rPr>
            </w:pPr>
            <w:r>
              <w:rPr>
                <w:rFonts w:hint="eastAsia" w:ascii="宋体" w:hAnsi="宋体"/>
                <w:szCs w:val="21"/>
              </w:rPr>
              <w:t xml:space="preserve">供冷条件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8" w:type="dxa"/>
            <w:vAlign w:val="top"/>
            <w:textDirection w:val="lrTb"/>
            <w:noWrap/>
          </w:tcPr>
          <w:p>
            <w:pPr>
              <w:pStyle w:val="1030"/>
              <w:jc w:val="center"/>
              <w:widowControl/>
              <w:rPr>
                <w:rFonts w:ascii="宋体" w:hAnsi="宋体" w:cs="宋体"/>
                <w:szCs w:val="21"/>
              </w:rPr>
            </w:pPr>
            <w:r>
              <w:rPr>
                <w:rFonts w:hint="eastAsia" w:ascii="宋体" w:hAnsi="宋体"/>
                <w:szCs w:val="21"/>
              </w:rPr>
              <w:t xml:space="preserve">供热时间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8" w:type="dxa"/>
            <w:vAlign w:val="top"/>
            <w:textDirection w:val="lrTb"/>
            <w:noWrap/>
          </w:tcPr>
          <w:p>
            <w:pPr>
              <w:pStyle w:val="1030"/>
              <w:jc w:val="center"/>
              <w:widowControl/>
              <w:rPr>
                <w:rFonts w:ascii="宋体" w:hAnsi="宋体" w:cs="宋体"/>
                <w:szCs w:val="21"/>
              </w:rPr>
            </w:pPr>
            <w:r>
              <w:rPr>
                <w:rFonts w:hint="eastAsia" w:ascii="宋体" w:hAnsi="宋体"/>
                <w:szCs w:val="21"/>
              </w:rPr>
              <w:t xml:space="preserve">供热条件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8" w:type="dxa"/>
            <w:vAlign w:val="top"/>
            <w:textDirection w:val="lrTb"/>
            <w:noWrap/>
          </w:tcPr>
          <w:p>
            <w:pPr>
              <w:pStyle w:val="1030"/>
              <w:jc w:val="center"/>
              <w:widowControl/>
              <w:rPr>
                <w:rFonts w:ascii="宋体" w:hAnsi="宋体" w:cs="宋体"/>
                <w:szCs w:val="21"/>
              </w:rPr>
            </w:pPr>
            <w:r>
              <w:rPr>
                <w:rFonts w:hint="eastAsia" w:ascii="宋体" w:hAnsi="宋体"/>
                <w:szCs w:val="21"/>
              </w:rPr>
              <w:t xml:space="preserve">空调标准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8" w:type="dxa"/>
            <w:vAlign w:val="top"/>
            <w:textDirection w:val="lrTb"/>
            <w:noWrap/>
          </w:tcPr>
          <w:p>
            <w:pPr>
              <w:pStyle w:val="1030"/>
              <w:jc w:val="center"/>
              <w:widowControl/>
              <w:rPr>
                <w:rFonts w:ascii="宋体" w:hAnsi="宋体" w:cs="宋体"/>
                <w:szCs w:val="21"/>
              </w:rPr>
            </w:pPr>
            <w:r>
              <w:rPr>
                <w:rFonts w:hint="eastAsia" w:ascii="宋体" w:hAnsi="宋体"/>
                <w:szCs w:val="21"/>
              </w:rPr>
              <w:t xml:space="preserve">卫生热水标准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8" w:type="dxa"/>
            <w:vAlign w:val="top"/>
            <w:textDirection w:val="lrTb"/>
            <w:noWrap/>
          </w:tcPr>
          <w:p>
            <w:pPr>
              <w:pStyle w:val="1030"/>
              <w:jc w:val="center"/>
              <w:widowControl/>
              <w:rPr>
                <w:rFonts w:ascii="宋体" w:hAnsi="宋体" w:cs="宋体"/>
                <w:szCs w:val="21"/>
              </w:rPr>
            </w:pPr>
            <w:r>
              <w:rPr>
                <w:rFonts w:hint="eastAsia" w:ascii="宋体" w:hAnsi="宋体"/>
                <w:szCs w:val="21"/>
              </w:rPr>
              <w:t xml:space="preserve">蒸汽标准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none" w:color="000000" w:sz="0" w:space="0"/>
              <w:right w:val="single" w:color="000000" w:sz="4" w:space="0"/>
            </w:tcBorders>
            <w:tcW w:w="1558" w:type="dxa"/>
            <w:vAlign w:val="center"/>
            <w:vMerge w:val="restart"/>
            <w:textDirection w:val="lrTb"/>
            <w:noWrap/>
          </w:tcPr>
          <w:p>
            <w:pPr>
              <w:pStyle w:val="1030"/>
              <w:jc w:val="center"/>
              <w:widowControl/>
              <w:rPr>
                <w:rFonts w:ascii="宋体" w:hAnsi="宋体" w:cs="宋体"/>
                <w:szCs w:val="21"/>
              </w:rPr>
            </w:pPr>
            <w:r>
              <w:rPr>
                <w:rFonts w:hint="eastAsia" w:ascii="宋体" w:hAnsi="宋体" w:cs="宋体"/>
                <w:szCs w:val="21"/>
              </w:rPr>
              <w:t xml:space="preserve">日供时段</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hint="eastAsia" w:ascii="宋体" w:hAnsi="宋体" w:cs="宋体"/>
                <w:szCs w:val="21"/>
              </w:rPr>
              <w:t xml:space="preserve">供冷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hint="eastAsia" w:ascii="宋体" w:hAnsi="宋体" w:cs="宋体"/>
                <w:szCs w:val="21"/>
              </w:rPr>
              <w:t xml:space="preserve">供热</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hint="eastAsia" w:ascii="宋体" w:hAnsi="宋体" w:cs="宋体"/>
                <w:szCs w:val="21"/>
              </w:rPr>
              <w:t xml:space="preserve">卫生热水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hint="eastAsia" w:ascii="宋体" w:hAnsi="宋体" w:cs="宋体"/>
                <w:szCs w:val="21"/>
              </w:rPr>
              <w:t xml:space="preserve">蒸汽</w:t>
            </w:r>
            <w:r>
              <w:rPr>
                <w:rFonts w:ascii="宋体" w:hAnsi="宋体" w:cs="宋体"/>
                <w:szCs w:val="21"/>
              </w:rPr>
            </w:r>
            <w:r/>
          </w:p>
        </w:tc>
      </w:tr>
      <w:tr>
        <w:trPr>
          <w:trHeight w:val="270"/>
        </w:trPr>
        <w:tc>
          <w:tcPr>
            <w:tcBorders>
              <w:top w:val="none" w:color="000000" w:sz="0" w:space="0"/>
              <w:left w:val="single" w:color="000000" w:sz="4" w:space="0"/>
              <w:bottom w:val="single" w:color="000000" w:sz="4" w:space="0"/>
              <w:right w:val="single" w:color="000000" w:sz="4" w:space="0"/>
            </w:tcBorders>
            <w:tcW w:w="1558" w:type="dxa"/>
            <w:vAlign w:val="center"/>
            <w:vMerge w:val="continue"/>
            <w:textDirection w:val="lrTb"/>
            <w:noWrap/>
          </w:tcPr>
          <w:p>
            <w:pPr>
              <w:pStyle w:val="103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照明标准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30"/>
              <w:jc w:val="center"/>
              <w:rPr>
                <w:rFonts w:ascii="宋体" w:hAnsi="宋体" w:cs="宋体"/>
                <w:szCs w:val="21"/>
              </w:rPr>
            </w:pPr>
            <w:r>
              <w:rPr>
                <w:rFonts w:ascii="宋体" w:hAnsi="宋体" w:cs="宋体"/>
                <w:szCs w:val="21"/>
              </w:rPr>
            </w:r>
            <w:r/>
          </w:p>
        </w:tc>
      </w:tr>
    </w:tbl>
    <w:p>
      <w:pPr>
        <w:pStyle w:val="1030"/>
        <w:ind w:firstLine="420"/>
        <w:spacing w:line="360" w:lineRule="auto"/>
        <w:rPr>
          <w:rFonts w:ascii="宋体" w:hAnsi="宋体"/>
          <w:szCs w:val="21"/>
        </w:rPr>
      </w:pPr>
      <w:r>
        <w:rPr>
          <w:rFonts w:hint="eastAsia" w:ascii="宋体" w:hAnsi="宋体"/>
          <w:szCs w:val="21"/>
        </w:rPr>
        <w:t xml:space="preserve">2.6 托管项目的运维管理情况：甲方委托乙方对本项目（用能系统）的设备及系统进行管理运营，设备开关及控制由负责，日常管理/值班人员人次，值班周期为。</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2.7 托管项目区域内的用能建筑情况（2.2）和能源系统设备设施（2.4）、项目运维管理情况（2.6），由双方进行逐一登记造册，形成“项目现有用能情况”作为本合同附件一。</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2.8 项目托管服务范围包括： 。</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第三条能源审计和能源基准</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3.1</w:t>
      </w:r>
      <w:r>
        <w:rPr>
          <w:rFonts w:ascii="宋体" w:hAnsi="宋体"/>
          <w:szCs w:val="21"/>
        </w:rPr>
        <w:t xml:space="preserve"> 能源审计是甲方能源系统能源消耗状况的依据，能源审计费用由</w:t>
      </w:r>
      <w:r>
        <w:rPr>
          <w:rFonts w:hint="eastAsia" w:ascii="宋体" w:hAnsi="宋体"/>
          <w:szCs w:val="21"/>
        </w:rPr>
        <w:t xml:space="preserve">委托方</w:t>
      </w:r>
      <w:r>
        <w:rPr>
          <w:rFonts w:ascii="宋体" w:hAnsi="宋体"/>
          <w:szCs w:val="21"/>
        </w:rPr>
        <w:t xml:space="preserve">承担。 </w:t>
      </w:r>
      <w:r>
        <w:rPr>
          <w:rFonts w:ascii="宋体" w:hAnsi="宋体"/>
          <w:szCs w:val="21"/>
        </w:rPr>
      </w:r>
      <w:r/>
    </w:p>
    <w:p>
      <w:pPr>
        <w:pStyle w:val="1030"/>
        <w:ind w:firstLine="420"/>
        <w:spacing w:line="360" w:lineRule="auto"/>
        <w:rPr>
          <w:rFonts w:ascii="宋体" w:hAnsi="宋体"/>
          <w:b/>
          <w:szCs w:val="21"/>
        </w:rPr>
      </w:pPr>
      <w:r>
        <w:rPr>
          <w:rFonts w:ascii="宋体" w:hAnsi="宋体"/>
          <w:szCs w:val="21"/>
        </w:rPr>
        <w:t xml:space="preserve">3.2 经过能源审计确定托管项目的能源基准：确定本项目在实施能源托管前，代表项目边界内用能设备和系统运行规律的基准期为年月日至年月日；能源基准如下所示：</w:t>
      </w:r>
      <w:r>
        <w:rPr>
          <w:rFonts w:ascii="宋体" w:hAnsi="宋体"/>
          <w:b/>
          <w:szCs w:val="21"/>
        </w:rPr>
      </w:r>
      <w:r/>
    </w:p>
    <w:tbl>
      <w:tblPr>
        <w:tblW w:w="445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81"/>
        <w:gridCol w:w="1481"/>
        <w:gridCol w:w="1692"/>
        <w:gridCol w:w="2325"/>
        <w:gridCol w:w="638"/>
      </w:tblGrid>
      <w:tr>
        <w:trPr>
          <w:trHeight w:val="312"/>
        </w:trPr>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pStyle w:val="1030"/>
              <w:jc w:val="center"/>
              <w:widowControl/>
              <w:rPr>
                <w:rFonts w:ascii="宋体" w:hAnsi="宋体" w:cs="宋体"/>
                <w:b/>
                <w:bCs/>
                <w:szCs w:val="21"/>
              </w:rPr>
            </w:pPr>
            <w:r>
              <w:rPr>
                <w:rFonts w:hint="eastAsia" w:ascii="宋体" w:hAnsi="宋体" w:cs="宋体"/>
                <w:b/>
                <w:bCs/>
                <w:szCs w:val="21"/>
              </w:rPr>
              <w:t xml:space="preserve">托管能源类型</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pStyle w:val="1030"/>
              <w:jc w:val="center"/>
              <w:widowControl/>
              <w:rPr>
                <w:rFonts w:ascii="宋体" w:hAnsi="宋体" w:cs="宋体"/>
                <w:b/>
                <w:bCs/>
                <w:szCs w:val="21"/>
              </w:rPr>
            </w:pPr>
            <w:r>
              <w:rPr>
                <w:rFonts w:hint="eastAsia" w:ascii="宋体" w:hAnsi="宋体" w:cs="宋体"/>
                <w:b/>
                <w:bCs/>
                <w:szCs w:val="21"/>
              </w:rPr>
              <w:t xml:space="preserve">能源缴费户号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tcPr>
          <w:p>
            <w:pPr>
              <w:pStyle w:val="1030"/>
              <w:jc w:val="center"/>
              <w:widowControl/>
              <w:rPr>
                <w:rFonts w:ascii="宋体" w:hAnsi="宋体" w:cs="宋体"/>
                <w:b/>
                <w:bCs/>
                <w:szCs w:val="21"/>
              </w:rPr>
            </w:pPr>
            <w:r>
              <w:rPr>
                <w:rFonts w:hint="eastAsia" w:ascii="宋体" w:hAnsi="宋体" w:cs="宋体"/>
                <w:b/>
                <w:bCs/>
                <w:szCs w:val="21"/>
              </w:rPr>
              <w:t xml:space="preserve">基准期能源用量</w:t>
            </w:r>
            <w:r>
              <w:rPr>
                <w:rFonts w:ascii="宋体" w:hAnsi="宋体" w:cs="宋体"/>
                <w:b/>
                <w:bCs/>
                <w:szCs w:val="21"/>
              </w:rPr>
            </w:r>
            <w:r/>
          </w:p>
        </w:tc>
        <w:tc>
          <w:tcPr>
            <w:tcBorders>
              <w:top w:val="single" w:color="000000" w:sz="4" w:space="0"/>
              <w:left w:val="single" w:color="000000" w:sz="4" w:space="0"/>
              <w:bottom w:val="none" w:color="000000" w:sz="0" w:space="0"/>
              <w:right w:val="single" w:color="000000" w:sz="4" w:space="0"/>
            </w:tcBorders>
            <w:tcW w:w="1374" w:type="dxa"/>
            <w:vAlign w:val="center"/>
            <w:vMerge w:val="restart"/>
            <w:textDirection w:val="lrTb"/>
            <w:noWrap/>
          </w:tcPr>
          <w:p>
            <w:pPr>
              <w:pStyle w:val="1030"/>
              <w:jc w:val="center"/>
              <w:widowControl/>
              <w:rPr>
                <w:rFonts w:ascii="宋体" w:hAnsi="宋体" w:cs="宋体"/>
                <w:b/>
                <w:bCs/>
                <w:szCs w:val="21"/>
              </w:rPr>
            </w:pPr>
            <w:r>
              <w:rPr>
                <w:rFonts w:hint="eastAsia" w:ascii="宋体" w:hAnsi="宋体" w:cs="宋体"/>
                <w:b/>
                <w:bCs/>
                <w:szCs w:val="21"/>
              </w:rPr>
              <w:t xml:space="preserve">基准期能源单价（元）</w:t>
            </w:r>
            <w:r>
              <w:rPr>
                <w:rFonts w:ascii="宋体" w:hAnsi="宋体" w:cs="宋体"/>
                <w:b/>
                <w:bCs/>
                <w:szCs w:val="21"/>
              </w:rPr>
            </w:r>
            <w:r/>
          </w:p>
        </w:tc>
        <w:tc>
          <w:tcPr>
            <w:tcBorders>
              <w:top w:val="single" w:color="000000" w:sz="4" w:space="0"/>
              <w:left w:val="single" w:color="000000" w:sz="4" w:space="0"/>
              <w:bottom w:val="none" w:color="000000" w:sz="0" w:space="0"/>
              <w:right w:val="single" w:color="000000" w:sz="4" w:space="0"/>
            </w:tcBorders>
            <w:tcW w:w="571" w:type="dxa"/>
            <w:vAlign w:val="center"/>
            <w:vMerge w:val="restart"/>
            <w:textDirection w:val="lrTb"/>
            <w:noWrap/>
          </w:tcPr>
          <w:p>
            <w:pPr>
              <w:pStyle w:val="1030"/>
              <w:jc w:val="center"/>
              <w:widowControl/>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电</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pStyle w:val="1030"/>
              <w:jc w:val="center"/>
              <w:rPr>
                <w:rFonts w:ascii="宋体" w:hAnsi="宋体" w:cs="宋体"/>
                <w:szCs w:val="21"/>
              </w:rPr>
            </w:pPr>
            <w:r>
              <w:rPr>
                <w:rFonts w:hint="eastAsia" w:ascii="宋体" w:hAnsi="宋体" w:cs="宋体"/>
                <w:szCs w:val="21"/>
              </w:rPr>
              <w:t xml:space="preserve">k</w:t>
            </w:r>
            <w:r>
              <w:rPr>
                <w:rFonts w:ascii="宋体" w:hAnsi="宋体" w:cs="宋体"/>
                <w:szCs w:val="21"/>
              </w:rPr>
              <w:t xml:space="preserve">Wh</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pStyle w:val="1030"/>
              <w:jc w:val="center"/>
              <w:rPr>
                <w:rFonts w:ascii="宋体" w:hAnsi="宋体" w:cs="宋体"/>
                <w:szCs w:val="21"/>
              </w:rPr>
            </w:pPr>
            <w:r>
              <w:rPr>
                <w:rFonts w:hint="eastAsia" w:ascii="宋体" w:hAnsi="宋体" w:cs="宋体"/>
                <w:szCs w:val="21"/>
              </w:rPr>
              <w:t xml:space="preserve">m</w:t>
            </w:r>
            <w:r>
              <w:rPr>
                <w:rFonts w:ascii="宋体" w:hAnsi="宋体" w:cs="Calibri"/>
                <w:szCs w:val="21"/>
              </w:rPr>
              <w:t xml:space="preserve">³</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天然气</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pStyle w:val="1030"/>
              <w:jc w:val="center"/>
              <w:rPr>
                <w:rFonts w:ascii="宋体" w:hAnsi="宋体" w:cs="宋体"/>
                <w:szCs w:val="21"/>
              </w:rPr>
            </w:pPr>
            <w:r>
              <w:rPr>
                <w:rFonts w:hint="eastAsia" w:ascii="宋体" w:hAnsi="宋体" w:cs="宋体"/>
                <w:szCs w:val="21"/>
              </w:rPr>
              <w:t xml:space="preserve">m</w:t>
            </w:r>
            <w:r>
              <w:rPr>
                <w:rFonts w:ascii="宋体" w:hAnsi="宋体" w:cs="Calibri"/>
                <w:szCs w:val="21"/>
              </w:rPr>
              <w:t xml:space="preserve">³</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蒸汽</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pStyle w:val="1030"/>
              <w:jc w:val="center"/>
              <w:rPr>
                <w:rFonts w:ascii="宋体" w:hAnsi="宋体" w:cs="宋体"/>
                <w:szCs w:val="21"/>
              </w:rPr>
            </w:pPr>
            <w:r>
              <w:rPr>
                <w:rFonts w:hint="eastAsia" w:ascii="宋体" w:hAnsi="宋体" w:cs="宋体"/>
                <w:szCs w:val="21"/>
              </w:rPr>
              <w:t xml:space="preserve">t或m</w:t>
            </w:r>
            <w:r>
              <w:rPr>
                <w:rFonts w:ascii="宋体" w:hAnsi="宋体" w:cs="Calibri"/>
                <w:szCs w:val="21"/>
              </w:rPr>
              <w:t xml:space="preserve">³</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1030"/>
              <w:jc w:val="center"/>
              <w:rPr>
                <w:rFonts w:ascii="宋体" w:hAnsi="宋体" w:cs="宋体"/>
                <w:szCs w:val="21"/>
              </w:rPr>
            </w:pPr>
            <w:r>
              <w:rPr>
                <w:rFonts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030"/>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1030"/>
              <w:jc w:val="center"/>
              <w:rPr>
                <w:rFonts w:ascii="宋体" w:hAnsi="宋体" w:cs="宋体"/>
                <w:szCs w:val="21"/>
              </w:rPr>
            </w:pPr>
            <w:r>
              <w:rPr>
                <w:rFonts w:ascii="宋体" w:hAnsi="宋体" w:cs="宋体"/>
                <w:szCs w:val="21"/>
              </w:rPr>
            </w:r>
            <w:r/>
          </w:p>
        </w:tc>
      </w:tr>
    </w:tbl>
    <w:p>
      <w:pPr>
        <w:pStyle w:val="1030"/>
        <w:ind w:firstLine="422"/>
        <w:spacing w:line="360" w:lineRule="auto"/>
        <w:rPr>
          <w:rFonts w:ascii="宋体" w:hAnsi="宋体"/>
          <w:b/>
          <w:szCs w:val="21"/>
        </w:rPr>
      </w:pPr>
      <w:r>
        <w:rPr>
          <w:rFonts w:hint="eastAsia" w:ascii="宋体" w:hAnsi="宋体"/>
          <w:b/>
          <w:szCs w:val="21"/>
        </w:rPr>
        <w:t xml:space="preserve">第四条节能目标</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4.1 在满足同等需求或达到同等目标的前提下，托管期间的年节能量与基准期能源用量之比应达到</w:t>
      </w:r>
      <w:r>
        <w:rPr>
          <w:rFonts w:ascii="宋体" w:hAnsi="宋体"/>
          <w:szCs w:val="21"/>
          <w:u w:val="single"/>
        </w:rPr>
        <w:t xml:space="preserve">    </w:t>
      </w:r>
      <w:r>
        <w:rPr>
          <w:rFonts w:hint="eastAsia" w:ascii="宋体" w:hAnsi="宋体"/>
          <w:szCs w:val="21"/>
        </w:rPr>
        <w:t xml:space="preserve">%（节能率）。</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4.2 如果在托管期间需要进行中期评估或托管结束时进行节能效果评估，可以委托第三方评估，或双方协商评估。节能效果评估费用由委托方承担。</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4.3 节能目标（根据项目实际情况举例）：</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第五条托管期限</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5.1 本项目的建设期为天，自</w:t>
      </w:r>
      <w:r>
        <w:rPr>
          <w:rFonts w:hint="eastAsia" w:ascii="宋体" w:hAnsi="宋体"/>
          <w:szCs w:val="21"/>
          <w:u w:val="single"/>
        </w:rPr>
        <w:t xml:space="preserve">  年  月  日</w:t>
      </w:r>
      <w:r>
        <w:rPr>
          <w:rFonts w:hint="eastAsia" w:ascii="宋体" w:hAnsi="宋体"/>
          <w:szCs w:val="21"/>
        </w:rPr>
        <w:t xml:space="preserve">（以开工令为准），至</w:t>
      </w:r>
      <w:r>
        <w:rPr>
          <w:rFonts w:hint="eastAsia" w:ascii="宋体" w:hAnsi="宋体"/>
          <w:szCs w:val="21"/>
          <w:u w:val="single"/>
        </w:rPr>
        <w:t xml:space="preserve">  年  月  日</w:t>
      </w:r>
      <w:r>
        <w:rPr>
          <w:rFonts w:hint="eastAsia" w:ascii="宋体" w:hAnsi="宋体"/>
          <w:szCs w:val="21"/>
        </w:rPr>
        <w:t xml:space="preserve">。托管期限为</w:t>
      </w:r>
      <w:r>
        <w:rPr>
          <w:rFonts w:hint="eastAsia" w:ascii="宋体" w:hAnsi="宋体"/>
          <w:szCs w:val="21"/>
          <w:u w:val="single"/>
        </w:rPr>
        <w:t xml:space="preserve">   </w:t>
      </w:r>
      <w:r>
        <w:rPr>
          <w:rFonts w:hint="eastAsia" w:ascii="宋体" w:hAnsi="宋体"/>
          <w:szCs w:val="21"/>
        </w:rPr>
        <w:t xml:space="preserve">年，自项目移交之日起至托管期限届满（即</w:t>
      </w:r>
      <w:r>
        <w:rPr>
          <w:rFonts w:hint="eastAsia" w:ascii="宋体" w:hAnsi="宋体"/>
          <w:szCs w:val="21"/>
          <w:u w:val="single"/>
        </w:rPr>
        <w:t xml:space="preserve">  年  月 日</w:t>
      </w:r>
      <w:r>
        <w:rPr>
          <w:rFonts w:hint="eastAsia" w:ascii="宋体" w:hAnsi="宋体"/>
          <w:szCs w:val="21"/>
        </w:rPr>
        <w:t xml:space="preserve">开始，至</w:t>
      </w:r>
      <w:r>
        <w:rPr>
          <w:rFonts w:hint="eastAsia" w:ascii="宋体" w:hAnsi="宋体"/>
          <w:szCs w:val="21"/>
          <w:u w:val="single"/>
        </w:rPr>
        <w:t xml:space="preserve">  年  月  日</w:t>
      </w:r>
      <w:r>
        <w:rPr>
          <w:rFonts w:hint="eastAsia" w:ascii="宋体" w:hAnsi="宋体"/>
          <w:szCs w:val="21"/>
        </w:rPr>
        <w:t xml:space="preserve">为止）。</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5.2 托管期限届满，乙方将托管的能源系统设备、设施移交给甲方或甲方指定的单位。</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5.3 本合同期限届满，乙方如约完成节能目标并且达到本合同约定的服务标准，如果甲方继续采用能源费用托管的形式进行能源系统的管理，在同等条件下，乙方享有优先续约的权利。</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第六条乙方的管理和服务标准</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6.1 托管期限内，托管区域内的供暖（冷）、用电、用水、用气等系统的经营及管理权归乙方，由乙方自主经营，自负盈亏。</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6.2 乙方在本项目设有专门的能源管理人员负责托管事宜，并建立专业的管理团队提供服务，人员配置要求为。管理团队成员名单、相应的资质资格证书应提交甲方备案。</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6.3 乙方提供的服务范围和项目包括：用电、供暖、供冷系统。（注：服务范围和内容应当具体全面。）</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6.4 乙方的服务标准</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6.4.1 供暖期间的室内温度标准，供冷期间的室内温度标准，生活热水的出水温度。（注：按建筑功能要求室内温度不低于。医院、学校、机关供冷供热时间不同。）</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6.4.2 托管期间，设备的维护、保养由乙方负责，维护保养频次为。现场用能设备日常巡视服务频次为。</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6.4.3 托管期间，设备的维修由乙方负责，报修方式为。设备检修服务的时限为接到通知后小时内到场，小时内处理完毕。设备抢修服务的时限为接到通知后小时到场，小时内处理完毕。</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6.4.4 托管期间，（用能系统）设备开关由</w:t>
      </w:r>
      <w:r>
        <w:rPr>
          <w:rFonts w:hint="eastAsia" w:ascii="宋体" w:hAnsi="宋体"/>
          <w:szCs w:val="21"/>
          <w:u w:val="single"/>
        </w:rPr>
        <w:t xml:space="preserve">    </w:t>
      </w:r>
      <w:r>
        <w:rPr>
          <w:rFonts w:hint="eastAsia" w:ascii="宋体" w:hAnsi="宋体"/>
          <w:szCs w:val="21"/>
        </w:rPr>
        <w:t xml:space="preserve">负责执行，设备开关及控制策略由乙方制定后报业主方审核确认，该用能系统的日常管理/值班人员人次。</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6.5 乙方的服务标准应当体现文明、高效、及时、优质的服务，“乙方的服务标准”应当制作专门文件，作为本合同的附件二。</w:t>
      </w:r>
      <w:r>
        <w:rPr>
          <w:rFonts w:ascii="宋体" w:hAnsi="宋体"/>
          <w:szCs w:val="21"/>
        </w:rPr>
      </w:r>
      <w:r/>
    </w:p>
    <w:p>
      <w:pPr>
        <w:pStyle w:val="1030"/>
        <w:ind w:firstLine="422"/>
        <w:widowControl/>
        <w:rPr>
          <w:rFonts w:ascii="宋体" w:hAnsi="宋体"/>
          <w:b/>
          <w:szCs w:val="21"/>
        </w:rPr>
      </w:pPr>
      <w:r>
        <w:rPr>
          <w:rFonts w:hint="eastAsia" w:ascii="宋体" w:hAnsi="宋体"/>
          <w:b/>
          <w:szCs w:val="21"/>
        </w:rPr>
        <w:t xml:space="preserve">第七条双方责任</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7.1 甲、乙双方应当建立健全能源管理使用制度，各方人员应当切实遵守。相关的能源管理使用制度应当由双方签字确认。</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7.2 甲、乙双方应当建立能源托管日常工作协调机制，定期组织双方现场管理人员召开工作例会；每年度进行一次综合分析评估，协商解决因客观情况变化而产生的利益分配等问题。</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7.3 甲方义务</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如需过户甲方应协助乙方办理甲方燃气和电费、水费分割手续，实际每月产生的燃气费、电费、水费由乙方承担并直接支付给燃气公司、电力公司、水务集团，发票抬头为乙方。为了便于管理及核算项目节能量，能源过户时双方应确定各计量仪表的过户数量、覆盖范围、计量底数及仪表编码等。</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（2）甲方应当与乙方共同协商做好原设备操作人员工作安排，由甲乙双方共同管理相关人员。</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（3）甲方应当提供必要的资料，协助、配合第三方机构开展节能量测量和验证。在托管期间积极配合政府主管部门对托管项目进行核查和监督，并提供有关证明材料。</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（4）甲方应当切实履行节能管理主体责任，加强对各用能单位和用能场所的管控，强化日常考核和监督检查，形成合理用能、节约用能的良好场景。</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（5）有新增/减设备或用能区域变更的需提前向乙方提供增/减设备或变更情况的书面记录。</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（6）甲方应当将与托管项目有关的其内部规章制度和特殊安全规定提前告知乙方并书面提交给乙方。</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（7）甲方应当协助乙方向有关政府机构或者组织申请与项目相关的补助、奖励或其他可适用的优惠政策，奖补资金归乙方。</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（8）甲方应当为乙方的管理服务工作提供必要的方便条件，包括但不限于提供必要的场所、通讯、水电以及合理调整办公、设备试运行等便利。</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（9）甲方应当组织有关用能岗位的人员学习能源管理使用的规章制度并切实遵守；应配合乙方落实合同约定的用能系统设备开关策略及能源供应标准。</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（10）为更好的开展精细化能源管理，甲方授权乙方在托管期间有权利采集、存储、加工、分析使用能耗数据，但乙方需对能耗数据承担保密义务，双方签署保密协议。</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7.4 乙方义务</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（1）乙方应当配合甲方建立和完善能源管理和使用规章制度，并组织甲方有关用能岗位的人员学习落实，同时定期对能源使用情况进行检查和监督，制止能源浪费行为。</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（2）乙方投资的设备、工程等在合同期内的维保及质量问题由乙方负责，并应定期向甲方提供设备维护、更新情况记录。</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（3）乙方应在完成所投资设备的安装和调试后，对甲方指派的操作人员定期进行专业培训，以使其能承担相应的操作和设施维护要求。</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（4）乙方若发现有私自拆、改、破坏能源系统的行为应及时上报甲方，并马上采取措施制止，若严重威胁到能源系统的可暂停服务。</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（5）因乙方未缴纳能源费用或乙方实施改造原因，导致甲方断水、断电、断天然气事故或造成其他损失的，责任由乙方承担，但不可抗力或甲方有违约行为的除外。</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（6）乙方应负责本方人员的安全管理，在合同履行期内，因乙方原因出现的安全（工伤）事故由乙方负责承担。</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7）乙方管理人员进入甲方的相关场所，应当遵守甲方的规章制度。乙方的维修维护管理等项工作，应当不影响甲方的正常工作。必须要甲方停止相关工作时，乙方应当提前通报甲方的负责人，协调安排好相应的工作。</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（8）乙方应当协助、配合第三方机构或者甲方开展节能量测量和验证。</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7.5 其他需要互相配合的事项： 。</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7.6 甲方的项目负责人为：；乙方的项目负责人为：。</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任何一方更换项目负责人应以书面形式通知对方。</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项目负责人可以就本合同的履行过程中的事项签署相关洽商文件，该洽商文件对双方具有约束力，其他相关人员无权签署此类洽商文件。</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第八条</w:t>
      </w:r>
      <w:r>
        <w:rPr>
          <w:rFonts w:ascii="宋体" w:hAnsi="宋体"/>
          <w:b/>
          <w:szCs w:val="21"/>
        </w:rPr>
        <w:t xml:space="preserve">  项目移交事项</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8.1 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8.2 移交过程中，甲方需要向乙方提供有关项目审批、验收、备案、行政许可等相关手续的复印件，供暖、供电、供水、燃气系统及消防系统申报、批准验收等手续；供暖及供冷系统相关资料等。</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8.3 移交相关的文件资料包括设备、设施的购买、维修、使用文件、能源管理的规章制度、行政许可证照及其他全部有关文件。</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8.4 其他移交事项：。</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8.5 针对移交的设备、设施、物品及有关事项，双方应当签署移交清单。</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8.6 本合同约定的托管期限届满，乙方应将其投资形成的有形和无形资产以人民币零点壹元价值向甲方移交，同时需移交投资、验收、运行等相关的全部文件资料。移交之前由乙方主导，甲方参与，双方共同对用能系统进行一次全面检修。检修费用由乙方承担。</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用能系统移交时乙方应保证设备和设施的完整性和能够正常运行。涉及到软件相关的知识产权使用权，中标方须永久免费授权。</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8.7 本合同第五条第 5.1 款约定的托管期限开始日的 30 日之前，甲方向乙方的移交事项应当办理完毕，以便于乙方进行准备工作。</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第九条</w:t>
      </w:r>
      <w:r>
        <w:rPr>
          <w:rFonts w:ascii="宋体" w:hAnsi="宋体"/>
          <w:b/>
          <w:szCs w:val="21"/>
        </w:rPr>
        <w:t xml:space="preserve">  托管费用的标准及支付</w:t>
      </w:r>
      <w:r>
        <w:rPr>
          <w:rFonts w:ascii="宋体" w:hAnsi="宋体"/>
          <w:b/>
          <w:szCs w:val="21"/>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9.1 年度能源托管费用包括能源费用。能源托管费用基数为：</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元/年，托管基准值：</w:t>
      </w:r>
      <w:r>
        <w:rPr>
          <w:rFonts w:ascii="宋体" w:hAnsi="宋体"/>
          <w:szCs w:val="21"/>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13"/>
        <w:gridCol w:w="2287"/>
        <w:gridCol w:w="1981"/>
        <w:gridCol w:w="2538"/>
      </w:tblGrid>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月份</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电量（kWh）</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基准单价</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基准费用</w:t>
            </w: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11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12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r>
        <w:trPr>
          <w:trHeight w:val="33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1030"/>
              <w:jc w:val="center"/>
              <w:widowControl/>
              <w:rPr>
                <w:rFonts w:ascii="宋体" w:hAnsi="宋体" w:cs="宋体"/>
                <w:sz w:val="18"/>
                <w:szCs w:val="18"/>
              </w:rPr>
            </w:pPr>
            <w:r>
              <w:rPr>
                <w:rFonts w:hint="eastAsia" w:ascii="宋体" w:hAnsi="宋体" w:cs="宋体"/>
                <w:sz w:val="18"/>
                <w:szCs w:val="18"/>
              </w:rPr>
              <w:t xml:space="preserve">小计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1030"/>
              <w:jc w:val="center"/>
              <w:rPr>
                <w:rFonts w:ascii="宋体" w:hAnsi="宋体" w:cs="宋体"/>
                <w:sz w:val="18"/>
                <w:szCs w:val="18"/>
              </w:rPr>
            </w:pPr>
            <w:r>
              <w:rPr>
                <w:rFonts w:ascii="宋体" w:hAnsi="宋体" w:cs="宋体"/>
                <w:sz w:val="18"/>
                <w:szCs w:val="18"/>
              </w:rPr>
            </w:r>
            <w:r/>
          </w:p>
        </w:tc>
      </w:tr>
    </w:tbl>
    <w:p>
      <w:pPr>
        <w:pStyle w:val="1030"/>
      </w:pPr>
      <w:r/>
      <w:r/>
    </w:p>
    <w:p>
      <w:pPr>
        <w:pStyle w:val="1030"/>
        <w:ind w:firstLine="420"/>
        <w:spacing w:line="360" w:lineRule="auto"/>
        <w:rPr>
          <w:rFonts w:hint="eastAsia" w:ascii="宋体" w:hAnsi="宋体"/>
          <w:szCs w:val="21"/>
          <w:highlight w:val="none"/>
        </w:rPr>
      </w:pPr>
      <w:r>
        <w:rPr>
          <w:rFonts w:hint="eastAsia" w:ascii="宋体" w:hAnsi="宋体"/>
          <w:szCs w:val="21"/>
          <w:highlight w:val="none"/>
        </w:rPr>
        <w:t xml:space="preserve">9.2 托管费用支付年限为8年（其中分布式光伏部分运营期25年）。支付标准为每年支付12次，支付时间为次月15号，每月支付金额以托管基准值中对应月度的电量乘以当期电力机构应收含税单价结算。</w:t>
      </w:r>
      <w:r>
        <w:rPr>
          <w:rFonts w:hint="eastAsia" w:ascii="宋体" w:hAnsi="宋体"/>
          <w:szCs w:val="21"/>
          <w:highlight w:val="none"/>
        </w:rPr>
      </w:r>
      <w:r/>
    </w:p>
    <w:p>
      <w:pPr>
        <w:pStyle w:val="1030"/>
        <w:ind w:firstLine="420"/>
        <w:spacing w:line="360" w:lineRule="auto"/>
        <w:rPr>
          <w:rFonts w:hint="eastAsia" w:ascii="宋体" w:hAnsi="宋体"/>
          <w:szCs w:val="21"/>
          <w:highlight w:val="none"/>
        </w:rPr>
      </w:pPr>
      <w:r>
        <w:rPr>
          <w:rFonts w:hint="eastAsia" w:ascii="宋体" w:hAnsi="宋体"/>
          <w:szCs w:val="21"/>
          <w:highlight w:val="none"/>
        </w:rPr>
        <w:t xml:space="preserve">每次付款前乙方向甲方开具正规税务发票，甲方自收到发票之日起10个工作日内支付。</w:t>
      </w:r>
      <w:r>
        <w:rPr>
          <w:rFonts w:hint="eastAsia" w:ascii="宋体" w:hAnsi="宋体"/>
          <w:szCs w:val="21"/>
          <w:highlight w:val="none"/>
        </w:rPr>
      </w:r>
      <w:r/>
    </w:p>
    <w:p>
      <w:pPr>
        <w:pStyle w:val="103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若年节能量超过</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kWh ，超出部分由采购方、节能服务商按照四六比例分享。</w:t>
      </w:r>
      <w:r>
        <w:rPr>
          <w:rFonts w:hint="eastAsia" w:ascii="宋体" w:hAnsi="宋体"/>
          <w:color w:val="000000"/>
          <w:szCs w:val="21"/>
          <w:highlight w:val="none"/>
        </w:rPr>
      </w:r>
      <w:r/>
    </w:p>
    <w:p>
      <w:pPr>
        <w:pStyle w:val="1030"/>
        <w:ind w:firstLine="420"/>
        <w:spacing w:line="360" w:lineRule="auto"/>
        <w:rPr>
          <w:rFonts w:hint="eastAsia" w:ascii="宋体" w:hAnsi="宋体"/>
          <w:szCs w:val="21"/>
          <w:highlight w:val="none"/>
        </w:rPr>
      </w:pPr>
      <w:r>
        <w:rPr>
          <w:rFonts w:hint="eastAsia" w:ascii="宋体" w:hAnsi="宋体"/>
          <w:szCs w:val="21"/>
          <w:highlight w:val="none"/>
        </w:rPr>
        <w:t xml:space="preserve">9.3 向供电等机构交纳的能源费，优先选择以乙方的名义交纳，从托管费用中由乙方代为支付。由乙方代为支付的，乙方每月开具相应金额的能源费用发票给甲方（电费发票税率13%），甲方应协助乙方办理电费缴纳等相关手续。如果有关机构对于支付上述费用有规定的，按照规定方式支付。每期托管费用与能源费用的差值开具服务费发票给甲方（服务费发票税率6%）。如遇税率变更，按国家法定税率开具。</w:t>
      </w:r>
      <w:r>
        <w:rPr>
          <w:rFonts w:hint="eastAsia" w:ascii="宋体" w:hAnsi="宋体"/>
          <w:szCs w:val="21"/>
          <w:highlight w:val="none"/>
        </w:rPr>
      </w:r>
      <w:r/>
    </w:p>
    <w:p>
      <w:pPr>
        <w:pStyle w:val="1030"/>
        <w:ind w:firstLine="420"/>
        <w:spacing w:line="360" w:lineRule="auto"/>
        <w:rPr>
          <w:rFonts w:hint="eastAsia" w:ascii="宋体" w:hAnsi="宋体"/>
          <w:szCs w:val="21"/>
          <w:highlight w:val="none"/>
        </w:rPr>
      </w:pPr>
      <w:r>
        <w:rPr>
          <w:rFonts w:hint="eastAsia" w:ascii="宋体" w:hAnsi="宋体"/>
          <w:szCs w:val="21"/>
          <w:highlight w:val="none"/>
        </w:rPr>
        <w:t xml:space="preserve">9.4 在合同期限内，分布式光伏、市场化售电、虚拟电厂、碳交易、数据资产等新型业务收益归乙方所有，托管合同期满后（即8年后），分布式光伏发电收益按照固定单价0.45元/kwh出售给乙方，甲方配合乙方办理相关手续及合同。</w:t>
      </w:r>
      <w:r>
        <w:rPr>
          <w:rFonts w:hint="eastAsia" w:ascii="宋体" w:hAnsi="宋体"/>
          <w:szCs w:val="21"/>
          <w:highlight w:val="none"/>
        </w:rPr>
      </w:r>
      <w:r/>
    </w:p>
    <w:p>
      <w:pPr>
        <w:pStyle w:val="1030"/>
        <w:ind w:firstLine="420"/>
        <w:spacing w:line="360" w:lineRule="auto"/>
        <w:rPr>
          <w:rFonts w:hint="eastAsia" w:ascii="宋体" w:hAnsi="宋体"/>
          <w:szCs w:val="21"/>
          <w:highlight w:val="none"/>
        </w:rPr>
      </w:pPr>
      <w:r>
        <w:rPr>
          <w:rFonts w:hint="eastAsia" w:ascii="宋体" w:hAnsi="宋体"/>
          <w:szCs w:val="21"/>
          <w:highlight w:val="none"/>
        </w:rPr>
        <w:t xml:space="preserve">9.5 合同约定的节能改造范围以外的供能设备（包括供暖设备、制冷设备、配电室、变压器、风机盘管、管道等设备）的更新改造和大修费用不包括在托管费用之内，列入甲方的固定资产投资计划，由甲方另行承担。合同约定的节能改造范围以内、乙方投资的供能设备，日常维修保养费用由乙方承担。</w:t>
      </w:r>
      <w:r>
        <w:rPr>
          <w:rFonts w:hint="eastAsia"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9.6 上述能源托管用量由乙方包干使用，通过能源系统管理运营节约的能源费用作为乙方的合理利润。</w:t>
      </w:r>
      <w:r>
        <w:rPr>
          <w:rFonts w:ascii="宋体" w:hAnsi="宋体"/>
          <w:szCs w:val="21"/>
          <w:highlight w:val="none"/>
        </w:rPr>
      </w:r>
      <w:r/>
    </w:p>
    <w:p>
      <w:pPr>
        <w:pStyle w:val="1030"/>
        <w:ind w:firstLine="422"/>
        <w:spacing w:line="360" w:lineRule="auto"/>
        <w:rPr>
          <w:rFonts w:ascii="宋体" w:hAnsi="宋体"/>
          <w:b/>
          <w:szCs w:val="21"/>
        </w:rPr>
      </w:pPr>
      <w:r>
        <w:rPr>
          <w:rFonts w:hint="eastAsia" w:ascii="宋体" w:hAnsi="宋体"/>
          <w:b/>
          <w:szCs w:val="21"/>
        </w:rPr>
        <w:t xml:space="preserve">第十条托管费用的调整和调节</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10.1 托管期间，若发生用能设备的增减、用能人数增减、用能区域变化、能源价格调整、用能行为改变、极端气候以及其他致使用能边界发生变化的情况，双方需对能源托管费用基数进行调整，调整约定如下：</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（1）调整方式：甲乙双方协商确定，或聘请第三方机构进行核定，第三方核定费用由支付。</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（2）调整周期：双方应依据协商确定或第三方机构核定的调整量签订补充协议，在每个托管年度结算期满后的</w:t>
      </w:r>
      <w:r>
        <w:rPr>
          <w:rFonts w:hint="eastAsia" w:ascii="宋体" w:hAnsi="宋体"/>
          <w:szCs w:val="21"/>
          <w:u w:val="single"/>
        </w:rPr>
        <w:t xml:space="preserve">   </w:t>
      </w:r>
      <w:r>
        <w:rPr>
          <w:rFonts w:hint="eastAsia" w:ascii="宋体" w:hAnsi="宋体"/>
          <w:szCs w:val="21"/>
        </w:rPr>
        <w:t xml:space="preserve">天内一次性结清。</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10.2 甲方的用能设备和其他用能项的增加或减少，应当通知乙方。甲、乙双方应当对增加或减少的设备和其他用能项予以书面确认。其他用能项包括但不限于用能建筑面积、用能时间、用能人员等。</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因用能设备和其他用能项的增减，应当调整基准能耗，并相应地据实增减能源托管费用基数。本项目调整方式为托管期间，甲方应及时告知乙方用能设备增减情况（设备更新情况统计可参考下表），并为乙方定期巡查设备更新提供便利。</w:t>
      </w:r>
      <w:r>
        <w:rPr>
          <w:rFonts w:ascii="宋体" w:hAnsi="宋体"/>
          <w:szCs w:val="21"/>
        </w:rPr>
      </w:r>
      <w:r/>
    </w:p>
    <w:p>
      <w:pPr>
        <w:pStyle w:val="1030"/>
        <w:jc w:val="center"/>
        <w:spacing w:line="360" w:lineRule="auto"/>
        <w:rPr>
          <w:rFonts w:ascii="宋体" w:hAnsi="宋体"/>
          <w:szCs w:val="21"/>
        </w:rPr>
      </w:pPr>
      <w:r>
        <w:rPr>
          <w:rFonts w:hint="eastAsia" w:ascii="宋体" w:hAnsi="宋体"/>
          <w:szCs w:val="21"/>
        </w:rPr>
        <w:t xml:space="preserve">用能设备增减情况统计表（   年  月— 年  月）</w:t>
      </w:r>
      <w:r>
        <w:rPr>
          <w:rFonts w:ascii="宋体" w:hAnsi="宋体"/>
          <w:szCs w:val="21"/>
        </w:rPr>
      </w:r>
      <w:r/>
    </w:p>
    <w:tbl>
      <w:tblPr>
        <w:tblW w:w="491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744"/>
        <w:gridCol w:w="705"/>
        <w:gridCol w:w="767"/>
        <w:gridCol w:w="1151"/>
        <w:gridCol w:w="870"/>
        <w:gridCol w:w="664"/>
        <w:gridCol w:w="726"/>
        <w:gridCol w:w="1096"/>
        <w:gridCol w:w="1076"/>
      </w:tblGrid>
      <w:tr>
        <w:trPr/>
        <w:tc>
          <w:tcPr>
            <w:tcW w:w="341"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序号</w:t>
            </w:r>
            <w:r>
              <w:rPr>
                <w:rFonts w:ascii="宋体" w:hAnsi="宋体"/>
                <w:szCs w:val="21"/>
              </w:rPr>
            </w:r>
            <w:r/>
          </w:p>
        </w:tc>
        <w:tc>
          <w:tcPr>
            <w:tcW w:w="444"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设备名称</w:t>
            </w:r>
            <w:r>
              <w:rPr>
                <w:rFonts w:ascii="宋体" w:hAnsi="宋体"/>
                <w:szCs w:val="21"/>
              </w:rPr>
            </w:r>
            <w:r/>
          </w:p>
        </w:tc>
        <w:tc>
          <w:tcPr>
            <w:tcW w:w="421"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使用部门</w:t>
            </w:r>
            <w:r>
              <w:rPr>
                <w:rFonts w:ascii="宋体" w:hAnsi="宋体"/>
                <w:szCs w:val="21"/>
              </w:rPr>
            </w:r>
            <w:r/>
          </w:p>
        </w:tc>
        <w:tc>
          <w:tcPr>
            <w:tcW w:w="458"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设备型号</w:t>
            </w:r>
            <w:r>
              <w:rPr>
                <w:rFonts w:ascii="宋体" w:hAnsi="宋体"/>
                <w:szCs w:val="21"/>
              </w:rPr>
            </w:r>
            <w:r/>
          </w:p>
        </w:tc>
        <w:tc>
          <w:tcPr>
            <w:tcW w:w="687"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设备功率（kW）</w:t>
            </w:r>
            <w:r>
              <w:rPr>
                <w:rFonts w:ascii="宋体" w:hAnsi="宋体"/>
                <w:szCs w:val="21"/>
              </w:rPr>
            </w:r>
            <w:r/>
          </w:p>
        </w:tc>
        <w:tc>
          <w:tcPr>
            <w:tcW w:w="519"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数量（台）</w:t>
            </w:r>
            <w:r>
              <w:rPr>
                <w:rFonts w:ascii="宋体" w:hAnsi="宋体"/>
                <w:szCs w:val="21"/>
              </w:rPr>
            </w:r>
            <w:r/>
          </w:p>
        </w:tc>
        <w:tc>
          <w:tcPr>
            <w:tcW w:w="396"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投用时间</w:t>
            </w:r>
            <w:r>
              <w:rPr>
                <w:rFonts w:ascii="宋体" w:hAnsi="宋体"/>
                <w:szCs w:val="21"/>
              </w:rPr>
            </w:r>
            <w:r/>
          </w:p>
        </w:tc>
        <w:tc>
          <w:tcPr>
            <w:tcW w:w="433"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弃用时间</w:t>
            </w:r>
            <w:r>
              <w:rPr>
                <w:rFonts w:ascii="宋体" w:hAnsi="宋体"/>
                <w:szCs w:val="21"/>
              </w:rPr>
            </w:r>
            <w:r/>
          </w:p>
        </w:tc>
        <w:tc>
          <w:tcPr>
            <w:tcW w:w="654"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每日使用时长（h）</w:t>
            </w:r>
            <w:r>
              <w:rPr>
                <w:rFonts w:ascii="宋体" w:hAnsi="宋体"/>
                <w:szCs w:val="21"/>
              </w:rPr>
            </w:r>
            <w:r/>
          </w:p>
        </w:tc>
        <w:tc>
          <w:tcPr>
            <w:tcW w:w="642"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使用天数（天）</w:t>
            </w:r>
            <w:r>
              <w:rPr>
                <w:rFonts w:ascii="宋体" w:hAnsi="宋体"/>
                <w:szCs w:val="21"/>
              </w:rPr>
            </w:r>
            <w:r/>
          </w:p>
        </w:tc>
      </w:tr>
      <w:tr>
        <w:trPr/>
        <w:tc>
          <w:tcPr>
            <w:tcW w:w="341"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1</w:t>
            </w:r>
            <w:r>
              <w:rPr>
                <w:rFonts w:ascii="宋体" w:hAnsi="宋体"/>
                <w:szCs w:val="21"/>
              </w:rPr>
            </w:r>
            <w:r/>
          </w:p>
        </w:tc>
        <w:tc>
          <w:tcPr>
            <w:tcW w:w="444"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421"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458"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687"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519"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396"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433"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654"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642" w:type="dxa"/>
            <w:vAlign w:val="center"/>
            <w:textDirection w:val="lrTb"/>
            <w:noWrap w:val="false"/>
          </w:tcPr>
          <w:p>
            <w:pPr>
              <w:pStyle w:val="1030"/>
              <w:jc w:val="center"/>
              <w:widowControl/>
              <w:rPr>
                <w:rFonts w:ascii="宋体" w:hAnsi="宋体"/>
                <w:szCs w:val="21"/>
              </w:rPr>
            </w:pPr>
            <w:r>
              <w:rPr>
                <w:rFonts w:ascii="宋体" w:hAnsi="宋体"/>
                <w:szCs w:val="21"/>
              </w:rPr>
            </w:r>
            <w:r/>
          </w:p>
        </w:tc>
      </w:tr>
      <w:tr>
        <w:trPr/>
        <w:tc>
          <w:tcPr>
            <w:tcW w:w="341" w:type="dxa"/>
            <w:vAlign w:val="center"/>
            <w:textDirection w:val="lrTb"/>
            <w:noWrap w:val="false"/>
          </w:tcPr>
          <w:p>
            <w:pPr>
              <w:pStyle w:val="1030"/>
              <w:jc w:val="center"/>
              <w:widowControl/>
              <w:rPr>
                <w:rFonts w:ascii="宋体" w:hAnsi="宋体"/>
                <w:szCs w:val="21"/>
              </w:rPr>
            </w:pPr>
            <w:r>
              <w:rPr>
                <w:rFonts w:hint="eastAsia" w:ascii="宋体" w:hAnsi="宋体"/>
                <w:szCs w:val="21"/>
              </w:rPr>
              <w:t xml:space="preserve">2</w:t>
            </w:r>
            <w:r>
              <w:rPr>
                <w:rFonts w:ascii="宋体" w:hAnsi="宋体"/>
                <w:szCs w:val="21"/>
              </w:rPr>
            </w:r>
            <w:r/>
          </w:p>
        </w:tc>
        <w:tc>
          <w:tcPr>
            <w:tcW w:w="444"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421"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458"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687"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519"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396"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433"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654" w:type="dxa"/>
            <w:vAlign w:val="center"/>
            <w:textDirection w:val="lrTb"/>
            <w:noWrap w:val="false"/>
          </w:tcPr>
          <w:p>
            <w:pPr>
              <w:pStyle w:val="1030"/>
              <w:jc w:val="center"/>
              <w:widowControl/>
              <w:rPr>
                <w:rFonts w:ascii="宋体" w:hAnsi="宋体"/>
                <w:szCs w:val="21"/>
              </w:rPr>
            </w:pPr>
            <w:r>
              <w:rPr>
                <w:rFonts w:ascii="宋体" w:hAnsi="宋体"/>
                <w:szCs w:val="21"/>
              </w:rPr>
            </w:r>
            <w:r/>
          </w:p>
        </w:tc>
        <w:tc>
          <w:tcPr>
            <w:tcW w:w="642" w:type="dxa"/>
            <w:vAlign w:val="center"/>
            <w:textDirection w:val="lrTb"/>
            <w:noWrap w:val="false"/>
          </w:tcPr>
          <w:p>
            <w:pPr>
              <w:pStyle w:val="1030"/>
              <w:jc w:val="center"/>
              <w:widowControl/>
              <w:rPr>
                <w:rFonts w:ascii="宋体" w:hAnsi="宋体"/>
                <w:szCs w:val="21"/>
              </w:rPr>
            </w:pPr>
            <w:r>
              <w:rPr>
                <w:rFonts w:ascii="宋体" w:hAnsi="宋体"/>
                <w:szCs w:val="21"/>
              </w:rPr>
            </w:r>
            <w:r/>
          </w:p>
        </w:tc>
      </w:tr>
    </w:tbl>
    <w:p>
      <w:pPr>
        <w:pStyle w:val="1030"/>
        <w:ind w:firstLine="420"/>
        <w:spacing w:line="360" w:lineRule="auto"/>
        <w:rPr>
          <w:szCs w:val="20"/>
        </w:rPr>
      </w:pPr>
      <w:r>
        <w:rPr>
          <w:rFonts w:hint="eastAsia"/>
          <w:szCs w:val="20"/>
        </w:rPr>
        <w:t xml:space="preserve">项目托管后，</w:t>
      </w:r>
      <w:r>
        <w:rPr>
          <w:szCs w:val="20"/>
        </w:rPr>
        <w:t xml:space="preserve">如发生用能设备功率增、减达到</w:t>
      </w:r>
      <w:r>
        <w:rPr>
          <w:rFonts w:hint="eastAsia"/>
          <w:szCs w:val="20"/>
        </w:rPr>
        <w:t xml:space="preserve"> 5 </w:t>
      </w:r>
      <w:r>
        <w:rPr>
          <w:szCs w:val="20"/>
        </w:rPr>
        <w:t xml:space="preserve">kW及以上时，甲乙</w:t>
      </w:r>
      <w:r>
        <w:rPr>
          <w:rFonts w:hint="eastAsia"/>
          <w:szCs w:val="20"/>
        </w:rPr>
        <w:t xml:space="preserve">双方应调整</w:t>
      </w:r>
      <w:r>
        <w:rPr>
          <w:szCs w:val="20"/>
        </w:rPr>
        <w:t xml:space="preserve">能源费用</w:t>
      </w:r>
      <w:r>
        <w:rPr>
          <w:rFonts w:hint="eastAsia"/>
          <w:szCs w:val="20"/>
        </w:rPr>
        <w:t xml:space="preserve">托管基数，按照【增减设备功率×用能时间】计算增减总能耗，按照【增减总能耗×能源单价】调整</w:t>
      </w:r>
      <w:r>
        <w:rPr>
          <w:szCs w:val="20"/>
        </w:rPr>
        <w:t xml:space="preserve">能源费用</w:t>
      </w:r>
      <w:r>
        <w:rPr>
          <w:rFonts w:hint="eastAsia"/>
          <w:szCs w:val="20"/>
        </w:rPr>
        <w:t xml:space="preserve">基数</w:t>
      </w:r>
      <w:r>
        <w:rPr>
          <w:szCs w:val="20"/>
        </w:rPr>
        <w:t xml:space="preserve">。</w:t>
      </w:r>
      <w:r>
        <w:rPr>
          <w:szCs w:val="20"/>
        </w:rPr>
      </w:r>
      <w:r/>
    </w:p>
    <w:p>
      <w:pPr>
        <w:pStyle w:val="1030"/>
        <w:ind w:firstLine="420"/>
        <w:spacing w:line="360" w:lineRule="auto"/>
        <w:rPr>
          <w:szCs w:val="20"/>
        </w:rPr>
      </w:pPr>
      <w:r>
        <w:rPr>
          <w:rFonts w:ascii="宋体" w:hAnsi="宋体"/>
          <w:szCs w:val="21"/>
        </w:rPr>
        <w:t xml:space="preserve">10.3</w:t>
      </w:r>
      <w:r>
        <w:rPr>
          <w:rFonts w:hint="eastAsia" w:ascii="宋体" w:hAnsi="宋体"/>
          <w:szCs w:val="21"/>
        </w:rPr>
        <w:t xml:space="preserve">甲方的用能人数的增加或减少，应当通知乙方。</w:t>
      </w:r>
      <w:r>
        <w:rPr>
          <w:rFonts w:hint="eastAsia"/>
          <w:szCs w:val="20"/>
        </w:rPr>
        <w:t xml:space="preserve">如</w:t>
      </w:r>
      <w:r>
        <w:rPr>
          <w:szCs w:val="20"/>
        </w:rPr>
        <w:t xml:space="preserve">办公</w:t>
      </w:r>
      <w:r>
        <w:rPr>
          <w:rFonts w:hint="eastAsia"/>
          <w:szCs w:val="20"/>
        </w:rPr>
        <w:t xml:space="preserve">/常驻</w:t>
      </w:r>
      <w:r>
        <w:rPr>
          <w:szCs w:val="20"/>
        </w:rPr>
        <w:t xml:space="preserve">人员增、减</w:t>
      </w:r>
      <w:r>
        <w:rPr>
          <w:rFonts w:hint="eastAsia"/>
          <w:szCs w:val="20"/>
        </w:rPr>
        <w:t xml:space="preserve">10</w:t>
      </w:r>
      <w:r>
        <w:rPr>
          <w:szCs w:val="20"/>
        </w:rPr>
        <w:t xml:space="preserve">人及以上，</w:t>
      </w:r>
      <w:r>
        <w:rPr>
          <w:rFonts w:hint="eastAsia"/>
          <w:szCs w:val="20"/>
        </w:rPr>
        <w:t xml:space="preserve">则按照【年基准能耗/原有用能人数】计算年人均能耗，按照【增减人数×年人均能耗】计算增减总能耗，按照【增减总能耗×能源单价】调整</w:t>
      </w:r>
      <w:r>
        <w:rPr>
          <w:szCs w:val="20"/>
        </w:rPr>
        <w:t xml:space="preserve">能源费用</w:t>
      </w:r>
      <w:r>
        <w:rPr>
          <w:rFonts w:hint="eastAsia"/>
          <w:szCs w:val="20"/>
        </w:rPr>
        <w:t xml:space="preserve">基数。</w:t>
      </w:r>
      <w:r>
        <w:rPr>
          <w:szCs w:val="20"/>
        </w:rPr>
      </w:r>
      <w:r/>
    </w:p>
    <w:p>
      <w:pPr>
        <w:pStyle w:val="1030"/>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4</w:t>
      </w:r>
      <w:r>
        <w:rPr>
          <w:rFonts w:hint="eastAsia" w:ascii="宋体" w:hAnsi="宋体"/>
          <w:szCs w:val="21"/>
        </w:rPr>
        <w:t xml:space="preserve"> 项目托管期间，因建筑改扩建增加的临时用能能耗需单独计量；新增用能区域的能耗需单独计量；如用能区域建筑功能发生改变，则该功能区能耗需单独计量。因用能区域变化导致的用能增减，应当调整基准能耗，并相应地据实增减能源托管费用基数。本项目调整方式为</w:t>
      </w:r>
      <w:r>
        <w:rPr>
          <w:rFonts w:hint="eastAsia"/>
          <w:szCs w:val="20"/>
        </w:rPr>
        <w:t xml:space="preserve">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rPr>
          <w:rFonts w:ascii="宋体" w:hAnsi="宋体"/>
          <w:szCs w:val="21"/>
        </w:rPr>
      </w:r>
      <w:r/>
    </w:p>
    <w:p>
      <w:pPr>
        <w:pStyle w:val="1030"/>
        <w:ind w:firstLine="420"/>
        <w:spacing w:line="360" w:lineRule="auto"/>
        <w:rPr>
          <w:szCs w:val="20"/>
        </w:rPr>
      </w:pPr>
      <w:r>
        <w:rPr>
          <w:rFonts w:hint="eastAsia" w:ascii="宋体" w:hAnsi="宋体"/>
          <w:szCs w:val="21"/>
        </w:rPr>
        <w:t xml:space="preserve">10.</w:t>
      </w:r>
      <w:r>
        <w:rPr>
          <w:rFonts w:ascii="宋体" w:hAnsi="宋体"/>
          <w:szCs w:val="21"/>
        </w:rPr>
        <w:t xml:space="preserve">5</w:t>
      </w:r>
      <w:r>
        <w:rPr>
          <w:rFonts w:hint="eastAsia" w:ascii="宋体" w:hAnsi="宋体"/>
          <w:szCs w:val="21"/>
        </w:rPr>
        <w:t xml:space="preserve">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w:t>
      </w:r>
      <w:r>
        <w:rPr>
          <w:rFonts w:hint="eastAsia"/>
          <w:szCs w:val="20"/>
        </w:rPr>
        <w:t xml:space="preserve">如</w:t>
      </w:r>
      <w:r>
        <w:rPr>
          <w:szCs w:val="20"/>
        </w:rPr>
        <w:t xml:space="preserve">因上班时间调整导致用能时间变化的，</w:t>
      </w:r>
      <w:r>
        <w:rPr>
          <w:rFonts w:hint="eastAsia"/>
          <w:szCs w:val="20"/>
        </w:rPr>
        <w:t xml:space="preserve">则按照【年基准能耗/原有工作时间】计算小时平均能耗，按照【增减工作时间×小时平均能耗】计算增减总能耗，按照【增减总能耗×能源单价】调整</w:t>
      </w:r>
      <w:r>
        <w:rPr>
          <w:szCs w:val="20"/>
        </w:rPr>
        <w:t xml:space="preserve">能源费用</w:t>
      </w:r>
      <w:r>
        <w:rPr>
          <w:rFonts w:hint="eastAsia"/>
          <w:szCs w:val="20"/>
        </w:rPr>
        <w:t xml:space="preserve">基数。</w:t>
      </w:r>
      <w:r>
        <w:rPr>
          <w:szCs w:val="20"/>
        </w:rPr>
      </w:r>
      <w:r/>
    </w:p>
    <w:p>
      <w:pPr>
        <w:pStyle w:val="1030"/>
        <w:ind w:firstLine="420"/>
        <w:spacing w:line="360" w:lineRule="auto"/>
        <w:rPr>
          <w:rFonts w:ascii="宋体" w:hAnsi="宋体"/>
          <w:color w:val="000000"/>
          <w:szCs w:val="21"/>
        </w:rPr>
      </w:pPr>
      <w:r>
        <w:rPr>
          <w:rFonts w:hint="eastAsia" w:ascii="宋体" w:hAnsi="宋体"/>
          <w:color w:val="000000"/>
          <w:szCs w:val="21"/>
        </w:rPr>
        <w:t xml:space="preserve">10.</w:t>
      </w:r>
      <w:r>
        <w:rPr>
          <w:rFonts w:ascii="宋体" w:hAnsi="宋体"/>
          <w:color w:val="000000"/>
          <w:szCs w:val="21"/>
        </w:rPr>
        <w:t xml:space="preserve">6</w:t>
      </w:r>
      <w:r>
        <w:rPr>
          <w:rFonts w:hint="eastAsia" w:ascii="宋体" w:hAnsi="宋体"/>
          <w:color w:val="000000"/>
          <w:szCs w:val="21"/>
        </w:rPr>
        <w:t xml:space="preserve"> 托管期间的能源单价调整，甲方支付给乙方的托管费用亦应按比例调整。具体调整结算方式可由公共机构与节能服务公司双方协商确定。本项目调整方式为</w:t>
      </w:r>
      <w:r>
        <w:rPr>
          <w:rFonts w:hint="eastAsia"/>
          <w:color w:val="000000"/>
          <w:szCs w:val="20"/>
        </w:rPr>
        <w:t xml:space="preserve">项目</w:t>
      </w:r>
      <w:r>
        <w:rPr>
          <w:color w:val="000000"/>
          <w:szCs w:val="20"/>
        </w:rPr>
        <w:t xml:space="preserve">托管期间，</w:t>
      </w:r>
      <w:r>
        <w:rPr>
          <w:rFonts w:hint="eastAsia"/>
          <w:color w:val="000000"/>
          <w:szCs w:val="20"/>
        </w:rPr>
        <w:t xml:space="preserve">因市场及政策原因导致能源单价调整时，应相应地调整能源托管费用基数。</w:t>
      </w:r>
      <w:r>
        <w:rPr>
          <w:color w:val="000000"/>
          <w:szCs w:val="20"/>
        </w:rPr>
        <w:t xml:space="preserve">以</w:t>
      </w:r>
      <w:r>
        <w:rPr>
          <w:rFonts w:hint="eastAsia"/>
          <w:color w:val="000000"/>
          <w:szCs w:val="20"/>
        </w:rPr>
        <w:t xml:space="preserve">项目基准能源单价为参考，</w:t>
      </w:r>
      <w:r>
        <w:rPr>
          <w:color w:val="000000"/>
          <w:szCs w:val="20"/>
        </w:rPr>
        <w:t xml:space="preserve">能源价格上涨</w:t>
      </w:r>
      <w:r>
        <w:rPr>
          <w:rFonts w:hint="eastAsia"/>
          <w:color w:val="000000"/>
          <w:szCs w:val="20"/>
        </w:rPr>
        <w:t xml:space="preserve">时，按照【</w:t>
      </w:r>
      <w:r>
        <w:rPr>
          <w:color w:val="000000"/>
          <w:szCs w:val="20"/>
        </w:rPr>
        <w:t xml:space="preserve">上涨月能源用量</w:t>
      </w:r>
      <w:r>
        <w:rPr>
          <w:rFonts w:hint="eastAsia"/>
          <w:color w:val="000000"/>
          <w:szCs w:val="20"/>
        </w:rPr>
        <w:t xml:space="preserve">×（</w:t>
      </w:r>
      <w:r>
        <w:rPr>
          <w:color w:val="000000"/>
          <w:szCs w:val="20"/>
        </w:rPr>
        <w:t xml:space="preserve">上涨月能源单价</w:t>
      </w:r>
      <w:r>
        <w:rPr>
          <w:rFonts w:hint="eastAsia"/>
          <w:color w:val="000000"/>
          <w:szCs w:val="20"/>
        </w:rPr>
        <w:t xml:space="preserve">-基准单价）】计算业主补偿乙方费用</w:t>
      </w:r>
      <w:r>
        <w:rPr>
          <w:color w:val="000000"/>
          <w:szCs w:val="20"/>
        </w:rPr>
        <w:t xml:space="preserve">；能源价格下降</w:t>
      </w:r>
      <w:r>
        <w:rPr>
          <w:rFonts w:hint="eastAsia"/>
          <w:color w:val="000000"/>
          <w:szCs w:val="20"/>
        </w:rPr>
        <w:t xml:space="preserve">时，按照【</w:t>
      </w:r>
      <w:r>
        <w:rPr>
          <w:color w:val="000000"/>
          <w:szCs w:val="20"/>
        </w:rPr>
        <w:t xml:space="preserve">下降月能源用量</w:t>
      </w:r>
      <w:r>
        <w:rPr>
          <w:rFonts w:hint="eastAsia"/>
          <w:color w:val="000000"/>
          <w:szCs w:val="20"/>
        </w:rPr>
        <w:t xml:space="preserve">×（基准单价-下降</w:t>
      </w:r>
      <w:r>
        <w:rPr>
          <w:color w:val="000000"/>
          <w:szCs w:val="20"/>
        </w:rPr>
        <w:t xml:space="preserve">月能源单价</w:t>
      </w:r>
      <w:r>
        <w:rPr>
          <w:rFonts w:hint="eastAsia"/>
          <w:color w:val="000000"/>
          <w:szCs w:val="20"/>
        </w:rPr>
        <w:t xml:space="preserve">）计算</w:t>
      </w:r>
      <w:r>
        <w:rPr>
          <w:color w:val="000000"/>
          <w:szCs w:val="20"/>
        </w:rPr>
        <w:t xml:space="preserve">乙方退还</w:t>
      </w:r>
      <w:r>
        <w:rPr>
          <w:rFonts w:hint="eastAsia"/>
          <w:color w:val="000000"/>
          <w:szCs w:val="20"/>
        </w:rPr>
        <w:t xml:space="preserve">业主</w:t>
      </w:r>
      <w:r>
        <w:rPr>
          <w:color w:val="000000"/>
          <w:szCs w:val="20"/>
        </w:rPr>
        <w:t xml:space="preserve">费用。</w:t>
      </w:r>
      <w:r>
        <w:rPr>
          <w:rFonts w:ascii="宋体" w:hAnsi="宋体"/>
          <w:color w:val="000000"/>
          <w:szCs w:val="21"/>
        </w:rPr>
      </w:r>
      <w:r/>
    </w:p>
    <w:p>
      <w:pPr>
        <w:pStyle w:val="1030"/>
        <w:ind w:firstLine="420"/>
        <w:spacing w:line="360" w:lineRule="auto"/>
        <w:rPr>
          <w:rFonts w:ascii="宋体" w:hAnsi="宋体"/>
          <w:color w:val="000000"/>
          <w:szCs w:val="21"/>
          <w:u w:val="single"/>
        </w:rPr>
      </w:pPr>
      <w:r>
        <w:rPr>
          <w:rFonts w:hint="eastAsia" w:ascii="宋体" w:hAnsi="宋体"/>
          <w:color w:val="000000"/>
          <w:szCs w:val="21"/>
        </w:rPr>
        <w:t xml:space="preserve">10.</w:t>
      </w:r>
      <w:r>
        <w:rPr>
          <w:rFonts w:ascii="宋体" w:hAnsi="宋体"/>
          <w:color w:val="000000"/>
          <w:szCs w:val="21"/>
        </w:rPr>
        <w:t xml:space="preserve">7</w:t>
      </w:r>
      <w:r>
        <w:rPr>
          <w:rFonts w:hint="eastAsia" w:ascii="宋体" w:hAnsi="宋体"/>
          <w:color w:val="000000"/>
          <w:szCs w:val="21"/>
        </w:rPr>
        <w:t xml:space="preserve"> 基于甲方提供的数据错误导致基准能耗核定错误，可以据实修正基准期能耗和能源托管费用基数，相应的责任应当由甲方承担，费用补偿及调整方式为</w:t>
      </w:r>
      <w:r>
        <w:rPr>
          <w:rFonts w:hint="eastAsia"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u w:val="single"/>
        </w:rPr>
      </w:r>
      <w:r/>
    </w:p>
    <w:p>
      <w:pPr>
        <w:pStyle w:val="1030"/>
        <w:ind w:firstLine="422"/>
        <w:spacing w:line="360" w:lineRule="auto"/>
        <w:rPr>
          <w:rFonts w:ascii="宋体" w:hAnsi="宋体"/>
          <w:b/>
          <w:szCs w:val="21"/>
        </w:rPr>
      </w:pPr>
      <w:r>
        <w:rPr>
          <w:rFonts w:hint="eastAsia" w:ascii="宋体" w:hAnsi="宋体"/>
          <w:b/>
          <w:szCs w:val="21"/>
        </w:rPr>
        <w:t xml:space="preserve">第十一条节能改造</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11.1 托管项目范围内，如需进行节能改造，乙方应当制定专项或者综合节能改造方案。甲、乙双方应当就改造的范围、拟使用的节能技术、产品，投资数额、投资形成的资产所有权、施工时间等问题进行协商，乙方在前述基础上就节能改造事项制定专项方案，并经甲方签字、盖章确认方可实施。</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11.2 节能改造所需投资和收益由甲乙双方本着经济合理性的原则协商确定。“节能改造方案”详见本合同附件三。</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第十二条安全生产和环境保护</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12.1 乙方在运营管理过程中应当严格遵守能源管理使用的法律、法规、规章制度，因违章操作或不尽职尽责导致在运行期间出现安全事故和经济损失由乙方负责。</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12.2 乙方进行的节能改造部分，由于乙方原因导致改造自身存在系统缺陷或施工质量导致安全事故和经济损失由乙方负责。</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12.3 甲方先期建设的能源供应和使用系统，由于系统缺陷或施工质量导致的安全事故和经济损失由甲方负责。</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12.4 针对安全生产和环境保护，甲、乙双方应当制定专项规范，划分相关的责任。</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“安全生产和环境保护规范”详见本合同附件四。</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第十三条禁止商业贿赂</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甲、乙双方应当遵守廉洁从政、廉洁经商的有关规定，禁止一方向另一方提供实物、现金、有价证券、超标准宴请、高消费娱乐活动等违反“廉洁协议书”约定的行为。</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“廉洁协议书”详见本合同附件五。</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第十四条保密义务</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14.1 甲、乙双方及其项目参加人员应对在合同履行过程中了解到的涉及到对方技术信息、经验信息、商业秘密以及其他尚未公开的有关信息、资料负有保密义务，并采取相应的保密措施。双方应承担的保密义务包括但不限于：</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14.1.1 未经对方书面同意，不得将上述信息、资料披露给任何第三人；</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14.1.2 不得将上述信息、资料用于本合同以外的其他目的；</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14.1.3 在本合同终止或解除后应按对方要求，及时将上述信息、资料返还对方或按对方要求作适当处理。</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14.2 本合同项下的保密义务至相关商业秘密信息、资料正式向社会公开之日或一方书面解除另一方本合同项下保密义务之日起终止。</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14.3 本条约定在本合同终止后仍然继续有效，且不受合同解除、终止或无效的影响。</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第十五条</w:t>
      </w:r>
      <w:r>
        <w:rPr>
          <w:rFonts w:hint="eastAsia" w:ascii="宋体" w:hAnsi="宋体"/>
          <w:b/>
          <w:szCs w:val="21"/>
        </w:rPr>
        <w:tab/>
      </w:r>
      <w:r>
        <w:rPr>
          <w:rFonts w:hint="eastAsia" w:ascii="宋体" w:hAnsi="宋体"/>
          <w:b/>
          <w:szCs w:val="21"/>
        </w:rPr>
        <w:t xml:space="preserve">合同变更、中止、解除</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15.1 出现需要变更合同内容的客观情形，或者一方提出合理的诉求，经双方协商一致可以变更合同内容。</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15.2 本合同的权利义务不可转让，特殊情况下，如乙方确需转让本合同权利义务，须经甲方书面同意，并另行签署合同约定。</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15.3 甲方发生必须停止办公或经营的情况，例如房屋大修或者部分拆除，可以中止合同履行。导致合同中止的事由消除后，恢复合同履行。</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15.4 双方协商一致可以解除本合同。</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15.5 一方严重违约，导致合同不能继续履行或者使合同履行成为不必要。守约方有权解除合同，守约方应当书面通知对方，书面通知到达违约方时即产生解除合同的效力。</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15.6 本合同经双方签字并盖章之日起90天内没有实际履行，任何一方均可书面通知对方解除合同。</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第十六条违约责任</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16.1 甲方违约责任</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16.1.1 如甲方未能按时足额支付托管费用经乙方催告后仍不支付时，按照拖延支付的金额每日万分之五向乙方支付违约金。</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16.1.2 如甲方未遵守本合同附件及其他条款约定，导致乙方经济损失，甲方应当按照乙方的实际损失额向乙方赔偿。</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16.2 乙方违约责任</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16.2.1 如乙方未能按照服务标准提供服务，违反操作规章制度、违反相关的服务标准，经甲方催仍不能改正的，按照对甲方的实际影响，向甲方支付违约金不少于</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16.2.2 如乙方未遵守本合同附件及其他条款规定，导致甲方经济损失，应当按照甲方的实际损失额向甲方赔偿。</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16.2.3 乙方应始终本着服务至上、保障运行的原则，积极响应和满足甲方的特殊和应急用能需求，所产生的额外能源费用事后双方协商解决。</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第十七条不可抗力</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17.1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17.2 遇有不可抗力事件的一方可以中止履行，直至不可抗力事件结束，但中止最长时间不超过 90天，超过 90 天，终止本合同的履行。</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17.3 遇有不可抗力事件的一方可以在通知另一方后 10 日内终止合同，任何一方将不对另一方继续承担义务，但甲方和乙方应当据实结算托管费用。仅仅发生不可抗力事件并不能必然减轻或影响具有付款义务的一方向另一方付款。</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17.4 遇有不可抗力事件的一方应采取措施，避免损失的扩大。如果因为未采取相应的措施而导致损失扩大，应向另一方承担赔偿责任。</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第十八条法律适用和争议解决</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18.1 本合同的订立、履行和解释，应遵守中华人民共和国法律、法规，并应遵守行业惯例。</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18.2 因本合同的履行、解释等引起的争议，双方应友好协商解决。如在一方提出书面协商请求后</w:t>
      </w:r>
      <w:r>
        <w:rPr>
          <w:rFonts w:hint="eastAsia" w:ascii="宋体" w:hAnsi="宋体"/>
          <w:szCs w:val="21"/>
          <w:u w:val="single"/>
        </w:rPr>
        <w:t xml:space="preserve">15 日内 </w:t>
      </w:r>
      <w:r>
        <w:rPr>
          <w:rFonts w:hint="eastAsia" w:ascii="宋体" w:hAnsi="宋体"/>
          <w:szCs w:val="21"/>
        </w:rPr>
        <w:t xml:space="preserve">双方无法达成一致，任何一方均可选择</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（1）依法向项目所在地有管辖权的人民法院提起诉讼。</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（2）将争议提交仲裁委员会，按照该会的仲裁程序和规则进行仲裁。</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18.3 无论采用仲裁还是诉讼，由此产生的律师代理费、交通差旅费、举证费、鉴定费及其他与仲裁或诉讼相关的费用，均由败诉方承担。</w:t>
      </w:r>
      <w:r>
        <w:rPr>
          <w:rFonts w:ascii="宋体" w:hAnsi="宋体"/>
          <w:szCs w:val="21"/>
        </w:rPr>
      </w:r>
      <w:r/>
    </w:p>
    <w:p>
      <w:pPr>
        <w:pStyle w:val="1030"/>
        <w:ind w:firstLine="422"/>
        <w:spacing w:line="360" w:lineRule="auto"/>
        <w:rPr>
          <w:rFonts w:ascii="宋体" w:hAnsi="宋体"/>
          <w:b/>
          <w:szCs w:val="21"/>
        </w:rPr>
      </w:pPr>
      <w:r>
        <w:rPr>
          <w:rFonts w:hint="eastAsia" w:ascii="宋体" w:hAnsi="宋体"/>
          <w:b/>
          <w:szCs w:val="21"/>
        </w:rPr>
        <w:t xml:space="preserve">第十九条合同的生效及其他</w:t>
      </w:r>
      <w:r>
        <w:rPr>
          <w:rFonts w:ascii="宋体" w:hAnsi="宋体"/>
          <w:b/>
          <w:szCs w:val="21"/>
        </w:rPr>
      </w:r>
      <w:r/>
    </w:p>
    <w:p>
      <w:pPr>
        <w:pStyle w:val="1030"/>
        <w:ind w:firstLine="420"/>
        <w:spacing w:line="360" w:lineRule="auto"/>
        <w:rPr>
          <w:rFonts w:ascii="宋体" w:hAnsi="宋体"/>
          <w:szCs w:val="21"/>
        </w:rPr>
      </w:pPr>
      <w:r>
        <w:rPr>
          <w:rFonts w:hint="eastAsia" w:ascii="宋体" w:hAnsi="宋体"/>
          <w:szCs w:val="21"/>
        </w:rPr>
        <w:t xml:space="preserve">19.1 本合同适用于能源费用托管形式的合同能源管理项目，包括但不限于政府机关、政府投资的医院、学校、社团组织及其他事业单位的办公和经营场所。</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19.2 本合同一式陆份，甲、乙双方各执叁份。具有同等法律效力。本合同经双方法定代表人或授权代表签字并加盖公章之日起生效。</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19.3 本合同的附件为本合同不可分割的组成部分，与本合同具有同等法律效力。本合同与附件及附件之间规定不一致时，以规定详细的文件为准。</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附件共</w:t>
      </w:r>
      <w:r>
        <w:rPr>
          <w:rFonts w:hint="eastAsia" w:ascii="宋体" w:hAnsi="宋体"/>
          <w:szCs w:val="21"/>
          <w:u w:val="single"/>
        </w:rPr>
        <w:t xml:space="preserve">  </w:t>
      </w:r>
      <w:r>
        <w:rPr>
          <w:rFonts w:hint="eastAsia" w:ascii="宋体" w:hAnsi="宋体"/>
          <w:szCs w:val="21"/>
        </w:rPr>
        <w:t xml:space="preserve">份：</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附件一：项目现有用能情况；</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附件二：乙方的服务标准；</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附件三：节能改造方案；</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附件四：安全生产和环境保护规范；</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附件五：廉洁协议书</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19.4 甲、乙双方发送给对方的通知，如用电话、微信、传真、电子邮件等形式发送通知时，凡涉及各方权利、义务的，应随之以书面形式通知对方。本合同中所列甲、乙双方的地址即为甲、乙双方的收件地址。如果任何一方地址发生变化，应在 15 日内书面通知对方。</w:t>
      </w:r>
      <w:r>
        <w:rPr>
          <w:rFonts w:ascii="宋体" w:hAnsi="宋体"/>
          <w:szCs w:val="21"/>
        </w:rPr>
      </w:r>
      <w:r/>
    </w:p>
    <w:p>
      <w:pPr>
        <w:pStyle w:val="1030"/>
        <w:ind w:firstLine="420"/>
        <w:spacing w:line="360" w:lineRule="auto"/>
        <w:rPr>
          <w:rFonts w:ascii="宋体" w:hAnsi="宋体"/>
          <w:szCs w:val="21"/>
        </w:rPr>
      </w:pP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甲方：（盖章）</w:t>
      </w:r>
      <w:r>
        <w:rPr>
          <w:rFonts w:hint="eastAsia" w:ascii="宋体" w:hAnsi="宋体"/>
          <w:szCs w:val="21"/>
        </w:rPr>
        <w:tab/>
      </w:r>
      <w:r>
        <w:rPr>
          <w:rFonts w:hint="eastAsia" w:ascii="宋体" w:hAnsi="宋体"/>
          <w:szCs w:val="21"/>
        </w:rPr>
        <w:t xml:space="preserve">                       乙方：（盖章）</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地址：                                 地址：</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法定代表人/授权代表：</w:t>
      </w:r>
      <w:r>
        <w:rPr>
          <w:rFonts w:hint="eastAsia" w:ascii="宋体" w:hAnsi="宋体"/>
          <w:szCs w:val="21"/>
        </w:rPr>
        <w:tab/>
      </w:r>
      <w:r>
        <w:rPr>
          <w:rFonts w:hint="eastAsia" w:ascii="宋体" w:hAnsi="宋体"/>
          <w:szCs w:val="21"/>
        </w:rPr>
        <w:t xml:space="preserve">               法定代表人/授权代表：</w:t>
      </w:r>
      <w:r>
        <w:rPr>
          <w:rFonts w:ascii="宋体" w:hAnsi="宋体"/>
          <w:szCs w:val="21"/>
        </w:rPr>
      </w:r>
      <w:r/>
    </w:p>
    <w:p>
      <w:pPr>
        <w:pStyle w:val="1030"/>
        <w:ind w:firstLine="420"/>
        <w:spacing w:line="360" w:lineRule="auto"/>
        <w:rPr>
          <w:rFonts w:ascii="宋体" w:hAnsi="宋体"/>
          <w:szCs w:val="21"/>
        </w:rPr>
      </w:pPr>
      <w:r>
        <w:rPr>
          <w:rFonts w:hint="eastAsia" w:ascii="宋体" w:hAnsi="宋体"/>
          <w:szCs w:val="21"/>
        </w:rPr>
        <w:t xml:space="preserve">联系电话：                             联系电话：</w:t>
      </w:r>
      <w:r>
        <w:rPr>
          <w:rFonts w:ascii="宋体" w:hAnsi="宋体"/>
          <w:szCs w:val="21"/>
        </w:rPr>
      </w:r>
      <w:r/>
    </w:p>
    <w:p>
      <w:pPr>
        <w:pStyle w:val="1030"/>
        <w:ind w:firstLine="420"/>
        <w:spacing w:line="360" w:lineRule="auto"/>
        <w:rPr>
          <w:rFonts w:ascii="宋体" w:hAnsi="宋体" w:cs="宋体"/>
          <w:bCs/>
          <w:sz w:val="24"/>
          <w:szCs w:val="21"/>
        </w:rPr>
      </w:pPr>
      <w:r>
        <w:rPr>
          <w:rFonts w:hint="eastAsia" w:ascii="宋体" w:hAnsi="宋体"/>
          <w:szCs w:val="21"/>
        </w:rPr>
        <w:t xml:space="preserve">日期：   年  月  日</w:t>
      </w:r>
      <w:r>
        <w:rPr>
          <w:rFonts w:hint="eastAsia" w:ascii="宋体" w:hAnsi="宋体"/>
          <w:szCs w:val="21"/>
        </w:rPr>
        <w:tab/>
      </w:r>
      <w:r>
        <w:rPr>
          <w:rFonts w:hint="eastAsia" w:ascii="宋体" w:hAnsi="宋体"/>
          <w:szCs w:val="21"/>
        </w:rPr>
        <w:t xml:space="preserve">                   日期：   年  月  日</w:t>
      </w:r>
      <w:r>
        <w:rPr>
          <w:rFonts w:ascii="宋体" w:hAnsi="宋体" w:cs="宋体"/>
          <w:bCs/>
          <w:sz w:val="24"/>
          <w:szCs w:val="21"/>
        </w:rPr>
      </w:r>
      <w:r/>
    </w:p>
    <w:p>
      <w:pPr>
        <w:pStyle w:val="1031"/>
        <w:jc w:val="center"/>
        <w:spacing w:line="240" w:lineRule="auto"/>
        <w:rPr>
          <w:rFonts w:hint="eastAsia" w:ascii="宋体" w:hAnsi="宋体"/>
          <w:sz w:val="36"/>
        </w:rPr>
      </w:pPr>
      <w:r>
        <w:br w:type="page" w:clear="all"/>
      </w:r>
      <w:r>
        <w:rPr>
          <w:rFonts w:hint="eastAsia" w:ascii="宋体" w:hAnsi="宋体"/>
          <w:sz w:val="36"/>
        </w:rPr>
        <w:t xml:space="preserve">第四章 项目需求</w:t>
      </w:r>
      <w:r>
        <w:rPr>
          <w:rFonts w:hint="eastAsia" w:ascii="宋体" w:hAnsi="宋体"/>
          <w:sz w:val="36"/>
        </w:rPr>
      </w:r>
      <w:r/>
    </w:p>
    <w:p>
      <w:pPr>
        <w:pStyle w:val="1030"/>
        <w:jc w:val="left"/>
        <w:spacing w:before="120" w:after="120" w:line="360" w:lineRule="auto"/>
        <w:rPr>
          <w:rFonts w:ascii="宋体" w:hAnsi="宋体" w:cs="宋体"/>
          <w:szCs w:val="21"/>
        </w:rPr>
      </w:pPr>
      <w:r>
        <w:rPr>
          <w:rFonts w:hint="eastAsia" w:ascii="宋体" w:hAnsi="宋体" w:cs="宋体"/>
          <w:szCs w:val="21"/>
        </w:rPr>
        <w:t xml:space="preserve">项目属性：服务类项目</w:t>
      </w:r>
      <w:r>
        <w:rPr>
          <w:rFonts w:ascii="宋体" w:hAnsi="宋体" w:cs="宋体"/>
          <w:szCs w:val="21"/>
        </w:rPr>
      </w:r>
      <w:r/>
    </w:p>
    <w:p>
      <w:pPr>
        <w:pStyle w:val="1030"/>
        <w:ind w:firstLine="420"/>
        <w:spacing w:line="440" w:lineRule="exact"/>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项目概况</w:t>
      </w:r>
      <w:r>
        <w:rPr>
          <w:rFonts w:ascii="宋体" w:hAnsi="宋体" w:cs="宋体"/>
          <w:b/>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1、项目内容：</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为深入贯彻习近平新时代中国特色社会主义思想，落实国家、省、市公共机构节能管理政策要求，推动公共机构管理工作，起到公共机构节能示范引领作用。本项目旨在通过实施技术、管理专业化能源一揽子解决方案，采用能源费用托管型合同能源管理方式，委托专业能源服务公司，利用国内外最新能源及信息技术发展成果，统筹推进广陵区行政审批中心集中办公区能源系统改造，提升广陵区行政审批中心集中办公区能源综合利用水平，实现能源利用高效化、清洁化、智能化、数字化，逐步降低综合能耗。</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2、基本现状：</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扬州市广陵区行政审批中心集中办公区位于扬州市广陵区二里桥路与观潮路十字路口，建筑面积约14000平方米，楼高8层，</w:t>
      </w:r>
      <w:r>
        <w:rPr>
          <w:rFonts w:hint="eastAsia" w:ascii="宋体" w:hAnsi="宋体" w:cs="宋体"/>
          <w:szCs w:val="21"/>
        </w:rPr>
        <w:t xml:space="preserve">日常办公人数约为300人。主要能源构成为电力、水，主要用能设备为照明、电梯、办公设备、暖通空调等。广陵区行政审批中心集中办公区建筑单位面积能耗整体处于偏高水平，且当前能源管理系统不健全，建筑用能管理、分析和诊断存在较大困难，存在较大节能降耗空间和潜力。根据中央和省市工作部署和文件要求，拟对广陵区行政审批中心集中办公区采用合同能源管理方式实现节能减碳，利用最新能源及信息技术发展成果，推进广陵区行政审批中心集中办公区建筑能效提升工作，实现楼宇单位面积能耗指标显著降低，以及能源利用高效化、清洁化、智能化、数字化。</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二、服务内容及要求：</w:t>
      </w:r>
      <w:r>
        <w:rPr>
          <w:rFonts w:ascii="宋体" w:hAnsi="宋体" w:cs="宋体"/>
          <w:b/>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1、基本服务内容及要求：</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（1）能源费用托管</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本项目的能源费用托管类型为电，其他能源不在此次范围。</w:t>
      </w:r>
      <w:r>
        <w:rPr>
          <w:rFonts w:ascii="宋体" w:hAnsi="宋体" w:cs="宋体"/>
          <w:szCs w:val="21"/>
        </w:rPr>
      </w:r>
      <w:r/>
    </w:p>
    <w:p>
      <w:pPr>
        <w:pStyle w:val="1030"/>
        <w:ind w:firstLine="420"/>
        <w:spacing w:line="440" w:lineRule="exact"/>
        <w:widowControl/>
        <w:rPr>
          <w:rFonts w:ascii="宋体" w:hAnsi="宋体" w:cs="宋体"/>
          <w:color w:val="000000"/>
          <w:szCs w:val="21"/>
        </w:rPr>
      </w:pPr>
      <w:r>
        <w:rPr>
          <w:rFonts w:hint="eastAsia" w:ascii="宋体" w:hAnsi="宋体" w:cs="宋体"/>
          <w:color w:val="000000"/>
          <w:szCs w:val="21"/>
        </w:rPr>
        <w:t xml:space="preserve">合同履行期限：从项目验收之日起的次月1号进入运维期，托管年限8年，光伏托管年限为25年，8年托管期限满后光伏发电量以固定单价0.45元/Kwh出售给采购方。</w:t>
      </w:r>
      <w:r>
        <w:rPr>
          <w:rFonts w:ascii="宋体" w:hAnsi="宋体" w:cs="宋体"/>
          <w:color w:val="000000"/>
          <w:szCs w:val="21"/>
        </w:rPr>
      </w:r>
      <w:r/>
    </w:p>
    <w:p>
      <w:pPr>
        <w:pStyle w:val="1030"/>
        <w:ind w:firstLine="420"/>
        <w:spacing w:line="440" w:lineRule="exact"/>
        <w:widowControl/>
        <w:rPr>
          <w:rFonts w:ascii="宋体" w:hAnsi="宋体" w:cs="宋体"/>
          <w:color w:val="000000"/>
          <w:szCs w:val="21"/>
        </w:rPr>
      </w:pPr>
      <w:r>
        <w:rPr>
          <w:rFonts w:hint="eastAsia" w:ascii="宋体" w:hAnsi="宋体" w:cs="宋体"/>
          <w:color w:val="000000"/>
          <w:szCs w:val="21"/>
        </w:rPr>
        <w:t xml:space="preserve">若托管期内能源资源单价与电费基准单价（0.73元/kWh）发生变化，双方应按能源资源费用价格调整比例同步调整能源托管费用。调整的时间为价格调整后的同步时间。</w:t>
      </w:r>
      <w:r>
        <w:rPr>
          <w:rFonts w:ascii="宋体" w:hAnsi="宋体" w:cs="宋体"/>
          <w:color w:val="000000"/>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（2）对供能系统和用能系统进行节能改造</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根据能源设备实际情况，寻找节能潜力，实施节能改造，降低整体能源消耗。供应商应在获得采购人的同意下，不断进行节能改造设备投入。实施节能改造需向相应的政府机构或者其他第三方申请许可、同意或者批准的，由供应商组织申请，并在本合同期间保持其有效性。改造完成后，应确保广陵区行政审批中心集中办公区年度单位面积能耗指标达到江苏省公共机构集中办公区能耗定额指标约束值以下，并持续优化改进。</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（3）对供能系统和用能系统进行精细化能源管理</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中标人应安排专业能效管家开展精细化能源管理。深入研究楼宇现有能源监控系统、各能源子系统运行管理现状，对软、硬件安全、可靠运行、能源系统分析功能提出改进意见，包括但不限于对核心指标、能源网子系统指标以及整体运行情况分析（指标管理、能源指标分析、能源生产运行报告等），并提出优化运行策略，在采购人同意后进行用能系统的优化运行。</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（4）按季出具“能源网运行报告”模板</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按季出具“能源网运行报告”模板，具体内容包括：广陵区行政审批中心集中办公区的用能情况分析、能源利用能力分析、运维情况分析等。</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2、增值服务内容及要求</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（1）保证技术先进性</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通过对广陵区行政审批中心集中办公区建筑能源系统的分析、改造，结合对于节能技术的深入研究，服务商为广陵区行政审批中心集中办公区提供能源系统的创新、提升等多方面的一体化解决方案。通过不断引进国内外先进技术，以完善能源网应用，促使采购人能源系统在全国政府机关系统处于领先的地位。</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（2）服务商要及时了解广陵区行政审批中心集中办公区能源系统的“个性”，开展个性化需求的收集工作，提供用能时间、温度等柔性的选择，满足采购人在冷、热、电等能源使用上的个性化需求。</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（3）设备资产可靠性分析</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随着设备维护时间的增长，设备可靠性基础数据随之增多，通过对这些基础数据进行分析，得出设备可靠性分析数据，如：设备预保养时间、设备故障预判、设备报废时间等，通过分析数据，维护队伍可提前做出人员、物资等安排，为采购人提供更优质的服务。通过故障预判，提前对设备进行维修保养，提前消除设备缺陷、防范设备事故、延长设备寿命，降低设备维修保养成本。</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（4）用能咨询</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对国家发布的相关政策进行分析与解读，提出合理的用能规划、管理规划、模式规划，持续提升能源系统理念、技术、管理的优越性；与此同时，侧重需求侧的用能分析，开展访谈工作，搜集底层历史用能信息，同时考虑广陵区行政审批中心集中办公区自身条件，依托服务商不断引进的新型节能和电能替代技术，对广陵区行政审批中心集中办公区终端的用能能效水平提出合理化指导意见。</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（5）搭建交流平台</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秉持“走出去、引进来”的思想，走出去学习国内外大型公共建筑群、园区（如大学城、工业园、高新技术产业区等）先进的节能管理理念、节能经验、节能技术等，将这些先进内容引进来，不断优化提升采购人能源系统的节能效益，奠定采购人在国内政府机关系统绿色节能综合应用方面的标杆地位。</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三、节能改造内容及要求</w:t>
      </w:r>
      <w:r>
        <w:rPr>
          <w:rFonts w:ascii="宋体" w:hAnsi="宋体" w:cs="宋体"/>
          <w:b/>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1、改造内容</w:t>
      </w:r>
      <w:r>
        <w:rPr>
          <w:rFonts w:ascii="宋体" w:hAnsi="宋体" w:cs="宋体"/>
          <w:b/>
          <w:szCs w:val="21"/>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20"/>
        <w:gridCol w:w="3130"/>
        <w:gridCol w:w="4270"/>
      </w:tblGrid>
      <w:tr>
        <w:trPr>
          <w:trHeight w:val="655"/>
        </w:trPr>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1030"/>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rPr>
                <w:rFonts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1836" w:type="dxa"/>
            <w:vAlign w:val="center"/>
            <w:textDirection w:val="lrTb"/>
            <w:noWrap w:val="false"/>
          </w:tcPr>
          <w:p>
            <w:pPr>
              <w:pStyle w:val="1030"/>
              <w:jc w:val="center"/>
              <w:widowControl/>
              <w:rPr>
                <w:rFonts w:ascii="宋体" w:hAnsi="宋体" w:cs="宋体"/>
                <w:b/>
                <w:bCs/>
                <w:color w:val="000000"/>
                <w:szCs w:val="21"/>
              </w:rPr>
            </w:pPr>
            <w:r>
              <w:rPr>
                <w:rFonts w:hint="eastAsia" w:ascii="宋体" w:hAnsi="宋体" w:cs="宋体"/>
                <w:b/>
                <w:bCs/>
                <w:color w:val="000000"/>
                <w:szCs w:val="21"/>
                <w:lang w:bidi="ar"/>
              </w:rPr>
              <w:t xml:space="preserve">节能技术改造</w:t>
            </w:r>
            <w:r>
              <w:rPr>
                <w:rFonts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2505" w:type="dxa"/>
            <w:vAlign w:val="center"/>
            <w:textDirection w:val="lrTb"/>
            <w:noWrap w:val="false"/>
          </w:tcPr>
          <w:p>
            <w:pPr>
              <w:pStyle w:val="1030"/>
              <w:jc w:val="center"/>
              <w:widowControl/>
              <w:rPr>
                <w:rFonts w:ascii="宋体" w:hAnsi="宋体" w:cs="宋体"/>
                <w:b/>
                <w:bCs/>
                <w:color w:val="000000"/>
                <w:szCs w:val="21"/>
              </w:rPr>
            </w:pPr>
            <w:r>
              <w:rPr>
                <w:rFonts w:hint="eastAsia" w:ascii="宋体" w:hAnsi="宋体" w:cs="宋体"/>
                <w:b/>
                <w:bCs/>
                <w:color w:val="000000"/>
                <w:szCs w:val="21"/>
                <w:lang w:bidi="ar"/>
              </w:rPr>
              <w:t xml:space="preserve">实施内容</w:t>
            </w:r>
            <w:r>
              <w:rPr>
                <w:rFonts w:ascii="宋体" w:hAnsi="宋体" w:cs="宋体"/>
                <w:b/>
                <w:bCs/>
                <w:color w:val="000000"/>
                <w:szCs w:val="21"/>
              </w:rPr>
            </w:r>
            <w:r/>
          </w:p>
        </w:tc>
      </w:tr>
      <w:tr>
        <w:trPr>
          <w:trHeight w:val="655"/>
        </w:trPr>
        <w:tc>
          <w:tcPr>
            <w:tcBorders>
              <w:top w:val="none" w:color="000000" w:sz="4" w:space="0"/>
              <w:left w:val="single" w:color="000000" w:sz="8" w:space="0"/>
              <w:bottom w:val="single" w:color="000000" w:sz="8" w:space="0"/>
              <w:right w:val="single" w:color="000000" w:sz="8" w:space="0"/>
            </w:tcBorders>
            <w:tcW w:w="657"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836"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智慧建筑综合能效管控平台</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2505" w:type="dxa"/>
            <w:vAlign w:val="center"/>
            <w:textDirection w:val="lrTb"/>
            <w:noWrap w:val="false"/>
          </w:tcPr>
          <w:p>
            <w:pPr>
              <w:pStyle w:val="1030"/>
              <w:jc w:val="left"/>
              <w:widowControl/>
              <w:rPr>
                <w:rFonts w:ascii="宋体" w:hAnsi="宋体" w:cs="宋体"/>
                <w:color w:val="000000"/>
                <w:szCs w:val="21"/>
              </w:rPr>
            </w:pPr>
            <w:r>
              <w:rPr>
                <w:rFonts w:hint="eastAsia" w:ascii="宋体" w:hAnsi="宋体" w:cs="宋体"/>
                <w:color w:val="000000"/>
                <w:szCs w:val="21"/>
                <w:lang w:bidi="ar"/>
              </w:rPr>
              <w:t xml:space="preserve">搭建服务器，建立电能监测、空调末端机电管控等系统综合能效管控平台。</w:t>
            </w:r>
            <w:r>
              <w:rPr>
                <w:rFonts w:ascii="宋体" w:hAnsi="宋体" w:cs="宋体"/>
                <w:color w:val="000000"/>
                <w:szCs w:val="21"/>
              </w:rPr>
            </w:r>
            <w:r/>
          </w:p>
        </w:tc>
      </w:tr>
      <w:tr>
        <w:trPr>
          <w:trHeight w:val="655"/>
        </w:trPr>
        <w:tc>
          <w:tcPr>
            <w:tcBorders>
              <w:top w:val="none" w:color="000000" w:sz="4" w:space="0"/>
              <w:left w:val="single" w:color="000000" w:sz="8" w:space="0"/>
              <w:bottom w:val="single" w:color="000000" w:sz="8" w:space="0"/>
              <w:right w:val="single" w:color="000000" w:sz="8" w:space="0"/>
            </w:tcBorders>
            <w:tcW w:w="657"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836"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计量监测改造</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2505" w:type="dxa"/>
            <w:vAlign w:val="center"/>
            <w:textDirection w:val="lrTb"/>
            <w:noWrap w:val="false"/>
          </w:tcPr>
          <w:p>
            <w:pPr>
              <w:pStyle w:val="1030"/>
              <w:jc w:val="left"/>
              <w:widowControl/>
              <w:rPr>
                <w:rFonts w:ascii="宋体" w:hAnsi="宋体" w:cs="宋体"/>
                <w:color w:val="000000"/>
                <w:szCs w:val="21"/>
              </w:rPr>
            </w:pPr>
            <w:r>
              <w:rPr>
                <w:rFonts w:hint="eastAsia" w:ascii="宋体" w:hAnsi="宋体" w:cs="宋体"/>
                <w:color w:val="000000"/>
                <w:szCs w:val="21"/>
                <w:lang w:bidi="ar"/>
              </w:rPr>
              <w:t xml:space="preserve">增加智能通讯网关；安装20台智能远传电表</w:t>
            </w:r>
            <w:r>
              <w:rPr>
                <w:rFonts w:ascii="宋体" w:hAnsi="宋体" w:cs="宋体"/>
                <w:color w:val="000000"/>
                <w:szCs w:val="21"/>
              </w:rPr>
            </w:r>
            <w:r/>
          </w:p>
        </w:tc>
      </w:tr>
      <w:tr>
        <w:trPr>
          <w:trHeight w:val="655"/>
        </w:trPr>
        <w:tc>
          <w:tcPr>
            <w:tcBorders>
              <w:top w:val="none" w:color="000000" w:sz="4" w:space="0"/>
              <w:left w:val="single" w:color="000000" w:sz="8" w:space="0"/>
              <w:bottom w:val="single" w:color="000000" w:sz="8" w:space="0"/>
              <w:right w:val="single" w:color="000000" w:sz="8" w:space="0"/>
            </w:tcBorders>
            <w:tcW w:w="657"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836"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空调末端控制改造</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2505" w:type="dxa"/>
            <w:vAlign w:val="center"/>
            <w:textDirection w:val="lrTb"/>
            <w:noWrap w:val="false"/>
          </w:tcPr>
          <w:p>
            <w:pPr>
              <w:pStyle w:val="1030"/>
              <w:jc w:val="left"/>
              <w:widowControl/>
              <w:rPr>
                <w:rFonts w:ascii="宋体" w:hAnsi="宋体" w:cs="宋体"/>
                <w:color w:val="000000"/>
                <w:szCs w:val="21"/>
              </w:rPr>
            </w:pPr>
            <w:r>
              <w:rPr>
                <w:rFonts w:hint="eastAsia" w:ascii="宋体" w:hAnsi="宋体" w:cs="宋体"/>
                <w:color w:val="000000"/>
                <w:szCs w:val="21"/>
                <w:lang w:bidi="ar"/>
              </w:rPr>
              <w:t xml:space="preserve">新增18台多联机空调网关，分体空调控制器100套，对末端空调进行集中管控</w:t>
            </w:r>
            <w:r>
              <w:rPr>
                <w:rFonts w:ascii="宋体" w:hAnsi="宋体" w:cs="宋体"/>
                <w:color w:val="000000"/>
                <w:szCs w:val="21"/>
              </w:rPr>
            </w:r>
            <w:r/>
          </w:p>
        </w:tc>
      </w:tr>
      <w:tr>
        <w:trPr>
          <w:trHeight w:val="655"/>
        </w:trPr>
        <w:tc>
          <w:tcPr>
            <w:tcBorders>
              <w:top w:val="none" w:color="000000" w:sz="4" w:space="0"/>
              <w:left w:val="single" w:color="000000" w:sz="8" w:space="0"/>
              <w:bottom w:val="single" w:color="000000" w:sz="8" w:space="0"/>
              <w:right w:val="single" w:color="000000" w:sz="8" w:space="0"/>
            </w:tcBorders>
            <w:tcW w:w="657"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836"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生活热水</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2505" w:type="dxa"/>
            <w:vAlign w:val="center"/>
            <w:textDirection w:val="lrTb"/>
            <w:noWrap w:val="false"/>
          </w:tcPr>
          <w:p>
            <w:pPr>
              <w:pStyle w:val="1030"/>
              <w:jc w:val="left"/>
              <w:widowControl/>
              <w:rPr>
                <w:rFonts w:ascii="宋体" w:hAnsi="宋体" w:cs="宋体"/>
                <w:color w:val="000000"/>
                <w:szCs w:val="21"/>
              </w:rPr>
            </w:pPr>
            <w:r>
              <w:rPr>
                <w:rFonts w:hint="eastAsia" w:ascii="宋体" w:hAnsi="宋体" w:cs="宋体"/>
                <w:color w:val="000000"/>
                <w:szCs w:val="21"/>
                <w:lang w:bidi="ar"/>
              </w:rPr>
              <w:t xml:space="preserve">新增电计量控制器14台，对开水器及小厨宝进行时间控制</w:t>
            </w:r>
            <w:r>
              <w:rPr>
                <w:rFonts w:ascii="宋体" w:hAnsi="宋体" w:cs="宋体"/>
                <w:color w:val="000000"/>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657"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836"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光伏</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2505" w:type="dxa"/>
            <w:vAlign w:val="center"/>
            <w:textDirection w:val="lrTb"/>
            <w:noWrap w:val="false"/>
          </w:tcPr>
          <w:p>
            <w:pPr>
              <w:pStyle w:val="1030"/>
              <w:jc w:val="left"/>
              <w:widowControl/>
              <w:rPr>
                <w:rFonts w:ascii="宋体" w:hAnsi="宋体" w:cs="宋体"/>
                <w:color w:val="000000"/>
                <w:szCs w:val="21"/>
              </w:rPr>
            </w:pPr>
            <w:r>
              <w:rPr>
                <w:rFonts w:hint="eastAsia" w:ascii="宋体" w:hAnsi="宋体" w:cs="宋体"/>
                <w:color w:val="000000"/>
                <w:szCs w:val="21"/>
                <w:lang w:bidi="ar"/>
              </w:rPr>
              <w:t xml:space="preserve">建设112kW光伏</w:t>
            </w:r>
            <w:r>
              <w:rPr>
                <w:rFonts w:ascii="宋体" w:hAnsi="宋体" w:cs="宋体"/>
                <w:color w:val="000000"/>
                <w:szCs w:val="21"/>
              </w:rPr>
            </w:r>
            <w:r/>
          </w:p>
        </w:tc>
      </w:tr>
      <w:tr>
        <w:trPr>
          <w:trHeight w:val="655"/>
        </w:trPr>
        <w:tc>
          <w:tcPr>
            <w:tcBorders>
              <w:top w:val="none" w:color="000000" w:sz="4" w:space="0"/>
              <w:left w:val="single" w:color="000000" w:sz="8" w:space="0"/>
              <w:bottom w:val="single" w:color="000000" w:sz="8" w:space="0"/>
              <w:right w:val="single" w:color="000000" w:sz="8" w:space="0"/>
            </w:tcBorders>
            <w:tcW w:w="657"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836" w:type="dxa"/>
            <w:vAlign w:val="center"/>
            <w:textDirection w:val="lrTb"/>
            <w:noWrap w:val="false"/>
          </w:tcPr>
          <w:p>
            <w:pPr>
              <w:pStyle w:val="1030"/>
              <w:jc w:val="center"/>
              <w:widowControl/>
              <w:rPr>
                <w:rFonts w:ascii="宋体" w:hAnsi="宋体" w:cs="宋体"/>
                <w:color w:val="000000"/>
                <w:szCs w:val="21"/>
              </w:rPr>
            </w:pPr>
            <w:r>
              <w:rPr>
                <w:rFonts w:hint="eastAsia" w:ascii="宋体" w:hAnsi="宋体" w:cs="宋体"/>
                <w:color w:val="000000"/>
                <w:szCs w:val="21"/>
                <w:lang w:bidi="ar"/>
              </w:rPr>
              <w:t xml:space="preserve">能源运维服务</w:t>
            </w: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2505" w:type="dxa"/>
            <w:vAlign w:val="center"/>
            <w:textDirection w:val="lrTb"/>
            <w:noWrap w:val="false"/>
          </w:tcPr>
          <w:p>
            <w:pPr>
              <w:pStyle w:val="1030"/>
              <w:jc w:val="left"/>
              <w:widowControl/>
              <w:rPr>
                <w:rFonts w:ascii="宋体" w:hAnsi="宋体" w:cs="宋体"/>
                <w:color w:val="000000"/>
                <w:szCs w:val="21"/>
              </w:rPr>
            </w:pPr>
            <w:r>
              <w:rPr>
                <w:rFonts w:hint="eastAsia" w:ascii="宋体" w:hAnsi="宋体" w:cs="宋体"/>
                <w:color w:val="000000"/>
                <w:szCs w:val="21"/>
                <w:lang w:bidi="ar"/>
              </w:rPr>
              <w:t xml:space="preserve">8年内，提供运维服务，持续强化设备管理和能源管理职能</w:t>
            </w:r>
            <w:r>
              <w:rPr>
                <w:rFonts w:ascii="宋体" w:hAnsi="宋体" w:cs="宋体"/>
                <w:color w:val="000000"/>
                <w:szCs w:val="21"/>
              </w:rPr>
            </w:r>
            <w:r/>
          </w:p>
        </w:tc>
      </w:tr>
    </w:tbl>
    <w:p>
      <w:pPr>
        <w:pStyle w:val="1030"/>
        <w:numPr>
          <w:ilvl w:val="0"/>
          <w:numId w:val="9"/>
        </w:numPr>
        <w:ind w:firstLine="422"/>
        <w:spacing w:line="440" w:lineRule="exact"/>
        <w:widowControl/>
        <w:rPr>
          <w:rFonts w:ascii="宋体" w:hAnsi="宋体" w:cs="宋体"/>
          <w:b/>
          <w:szCs w:val="21"/>
        </w:rPr>
      </w:pPr>
      <w:r>
        <w:rPr>
          <w:rFonts w:hint="eastAsia" w:ascii="宋体" w:hAnsi="宋体" w:cs="宋体"/>
          <w:b/>
          <w:szCs w:val="21"/>
        </w:rPr>
        <w:t xml:space="preserve">主要设备技术要求：</w:t>
      </w:r>
      <w:r>
        <w:rPr>
          <w:rFonts w:ascii="宋体" w:hAnsi="宋体" w:cs="宋体"/>
          <w:b/>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（1）综合能源监管平台</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本项目提供的平台应基于分布式云架构，并提供租户管理、项目管理、用户管理、统一登录、日志审计等基础服务，同时应提供MQTT协议的设备接入服务、提供物联配置与管理服务、提供应用场景配置与集成服务等。</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基础功能应包括但不限于：基础管理中心、物联管理中心、物联网平台、应用服务中心等。</w:t>
      </w:r>
      <w:r>
        <w:rPr>
          <w:rFonts w:ascii="宋体" w:hAnsi="宋体" w:cs="宋体"/>
          <w:szCs w:val="21"/>
        </w:rPr>
      </w:r>
      <w:r/>
    </w:p>
    <w:p>
      <w:pPr>
        <w:pStyle w:val="1030"/>
        <w:ind w:firstLine="422"/>
        <w:spacing w:line="440" w:lineRule="exact"/>
        <w:widowControl/>
        <w:rPr>
          <w:rFonts w:ascii="宋体" w:hAnsi="宋体" w:cs="宋体"/>
          <w:szCs w:val="21"/>
        </w:rPr>
      </w:pPr>
      <w:r>
        <w:rPr>
          <w:rFonts w:hint="eastAsia" w:ascii="宋体" w:hAnsi="宋体" w:cs="宋体"/>
          <w:b/>
          <w:szCs w:val="21"/>
        </w:rPr>
        <w:t xml:space="preserve">基础管理中心：</w:t>
      </w:r>
      <w:r>
        <w:rPr>
          <w:rFonts w:hint="eastAsia" w:ascii="宋体" w:hAnsi="宋体" w:cs="宋体"/>
          <w:szCs w:val="21"/>
        </w:rPr>
        <w:t xml:space="preserve">提供对项目、角色等的管理功能，提供对用户注册、审核与授权的管理功能，提供对应用系统配置与授权的管理功能。</w:t>
      </w:r>
      <w:r>
        <w:rPr>
          <w:rFonts w:ascii="宋体" w:hAnsi="宋体" w:cs="宋体"/>
          <w:szCs w:val="21"/>
        </w:rPr>
      </w:r>
      <w:r/>
    </w:p>
    <w:p>
      <w:pPr>
        <w:pStyle w:val="1030"/>
        <w:ind w:firstLine="422"/>
        <w:spacing w:line="440" w:lineRule="exact"/>
        <w:widowControl/>
        <w:rPr>
          <w:rFonts w:ascii="宋体" w:hAnsi="宋体" w:cs="宋体"/>
          <w:szCs w:val="21"/>
        </w:rPr>
      </w:pPr>
      <w:r>
        <w:rPr>
          <w:rFonts w:hint="eastAsia" w:ascii="宋体" w:hAnsi="宋体" w:cs="宋体"/>
          <w:b/>
          <w:szCs w:val="21"/>
        </w:rPr>
        <w:t xml:space="preserve">物联管理中心：</w:t>
      </w:r>
      <w:r>
        <w:rPr>
          <w:rFonts w:hint="eastAsia" w:ascii="宋体" w:hAnsi="宋体" w:cs="宋体"/>
          <w:szCs w:val="21"/>
        </w:rPr>
        <w:t xml:space="preserve">提供物联设备接入的通用配置管理功能：包括对设备测点与设备模板的管理功能、对调试场景的管理功能等。</w:t>
      </w:r>
      <w:r>
        <w:rPr>
          <w:rFonts w:ascii="宋体" w:hAnsi="宋体" w:cs="宋体"/>
          <w:szCs w:val="21"/>
        </w:rPr>
      </w:r>
      <w:r/>
    </w:p>
    <w:p>
      <w:pPr>
        <w:pStyle w:val="1030"/>
        <w:ind w:firstLine="422"/>
        <w:spacing w:line="440" w:lineRule="exact"/>
        <w:widowControl/>
        <w:rPr>
          <w:rFonts w:ascii="宋体" w:hAnsi="宋体" w:cs="宋体"/>
          <w:szCs w:val="21"/>
        </w:rPr>
      </w:pPr>
      <w:r>
        <w:rPr>
          <w:rFonts w:hint="eastAsia" w:ascii="宋体" w:hAnsi="宋体" w:cs="宋体"/>
          <w:b/>
          <w:szCs w:val="21"/>
        </w:rPr>
        <w:t xml:space="preserve">物联网平台：</w:t>
      </w:r>
      <w:r>
        <w:rPr>
          <w:rFonts w:hint="eastAsia" w:ascii="宋体" w:hAnsi="宋体" w:cs="宋体"/>
          <w:szCs w:val="21"/>
        </w:rPr>
        <w:t xml:space="preserve">提供物联设备接入的项目化配置管理功能：包括空间模型配置管理功能、设备模板项目化配置功能、项目总体接入设备情况管理功能、各场景接入设备情况管理功能、设备运行监测功能、设备参数监测功能等。</w:t>
      </w:r>
      <w:r>
        <w:rPr>
          <w:rFonts w:ascii="宋体" w:hAnsi="宋体" w:cs="宋体"/>
          <w:szCs w:val="21"/>
        </w:rPr>
      </w:r>
      <w:r/>
    </w:p>
    <w:p>
      <w:pPr>
        <w:pStyle w:val="1030"/>
        <w:ind w:firstLine="422"/>
        <w:spacing w:line="440" w:lineRule="exact"/>
        <w:widowControl/>
        <w:rPr>
          <w:rFonts w:ascii="宋体" w:hAnsi="宋体" w:cs="宋体"/>
          <w:szCs w:val="21"/>
        </w:rPr>
      </w:pPr>
      <w:r>
        <w:rPr>
          <w:rFonts w:hint="eastAsia" w:ascii="宋体" w:hAnsi="宋体" w:cs="宋体"/>
          <w:b/>
          <w:szCs w:val="21"/>
        </w:rPr>
        <w:t xml:space="preserve">应用服务中心：</w:t>
      </w:r>
      <w:r>
        <w:rPr>
          <w:rFonts w:hint="eastAsia" w:ascii="宋体" w:hAnsi="宋体" w:cs="宋体"/>
          <w:szCs w:val="21"/>
        </w:rPr>
        <w:t xml:space="preserve">提供应用基础组件管理功能：包括规则引擎管理功能、现场组态管理功能、后台任务监测功能等。</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（2）电能计量管理系统软件</w:t>
      </w:r>
      <w:r>
        <w:rPr>
          <w:rFonts w:ascii="宋体" w:hAnsi="宋体" w:cs="宋体"/>
          <w:b/>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1）节能对标功能要求：</w:t>
      </w:r>
      <w:r>
        <w:rPr>
          <w:rFonts w:ascii="宋体" w:hAnsi="宋体" w:cs="宋体"/>
          <w:b/>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项目配置</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配置托管周期、录入每个托管年用电费用指标、节能指标；根据能源资源种类建立能源账单户号。</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账单录入</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根据能源资源种类，按托管周期录入逐月基准用量、费用数据；根据能源资源种类分，按托管周期录入分户号录入实际能源资源账号数据。</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统计对标</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根据能源资源种类，按托管周期对标指定周期逐月节能对标结果，支持实际情况、价格变化因素影响情况和用能边界变化因素影响情况区分。</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2）增量追溯功能要求：</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根据能源资源种类，按增量时间类型对单个监测点，通过时间维度的横向和纵向对比，及时发现增量变化，便于定性定量异常回路，追溯发现异常用能问题。</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昨日增量</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监测各用电回路昨日能耗、昨日非工作时段能耗、昨日增量、昨日增量变化率；支持按日能耗、非工作时段能耗、增量、增量变化率进行排序，以便快速定位昨日能耗异常增长回路。</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七日异常</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监测昨日能耗大于前7日内最大日能耗设备；支持昨日能耗、7日内最大、最小日能耗排序，以便快速定位用电回路能耗异常增长情况。</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本月同比</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监测各用电回路本月月度能耗、同比变化情况；支持按月度能耗、同比变化进行排序。</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上月同比</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监测各用电回路上月月度能耗、同比变化情况；支持按月度能耗、同比变化进行排序。</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用电回路能耗日历</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可查看用电回路任意月份逐日能耗数据。</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用电回路72小时能耗</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可查看用电回路任意日期最近72小时内逐时能耗数据。</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3）增量捕捉功能要求：</w:t>
      </w:r>
      <w:r>
        <w:rPr>
          <w:rFonts w:ascii="宋体" w:hAnsi="宋体" w:cs="宋体"/>
          <w:b/>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增量规则配置</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支持可视化方式配置增量规则流程，规则支持设定触发对象（单设备、模板设备、增量参数）、判断条件（且或、昨日环比、本月同比等）、执行动作（推送指定用户）。</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增量日志追溯</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查询任意增量规则匹配满足的增量历史日志信息</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（3）空调节能监控管理系统软件</w:t>
      </w:r>
      <w:r>
        <w:rPr>
          <w:rFonts w:ascii="宋体" w:hAnsi="宋体" w:cs="宋体"/>
          <w:b/>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实时控制</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支持查看当前所有空调运行状态，包括开关、模式、设定温度、室内温度等。</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支持筛选功能，可以基于空间和管理属性等进行筛选定位。</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支持批量控制功能，可以勾选单个或多个空调进行开关、调温等批量控制。</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策略管理</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支持建立开关、调温控制策略，策略可以灵活设置周期、时间、执行动作、轮询时间、轮询次数等。策略支持指定前置条件，前置条件即空调运行参数的判断条件设置。</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策略可以批量关联空调设备，设备查询可以基于空间标签、管理标签、设备名称等进行筛选。</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可以对策略每次执行的日志进行查询，可以针对单个失败的设备进行重新控制操作。</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报警管理</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支持可视化方式配置空调阈值预警规则，规则支持设定触发对象（单设备、模板设备、预警参数）、判断条件（且或、持续时间等）、执行动作（推送指定用户）。</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查询任意报警规则匹配满足的报警历史事件信息。</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（4）远传三相电表</w:t>
      </w:r>
      <w:r>
        <w:rPr>
          <w:rFonts w:ascii="宋体" w:hAnsi="宋体" w:cs="宋体"/>
          <w:b/>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接线：三相四线</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频率：45- 65Hz</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电压额定值：AC 100V.400V</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电流额定值: AC 1A.5A</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通讯：RS485接口、Modbus- RTU协议</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显示：LED、LCD</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开关量输入：2路或4路无源干接点输入方式</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开关量输出：2路继电器常开触点输出</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精度等级：频率0.05Hz、无功电能1级、其它0.5级</w:t>
      </w:r>
      <w:r>
        <w:rPr>
          <w:rFonts w:ascii="宋体" w:hAnsi="宋体" w:cs="宋体"/>
          <w:szCs w:val="21"/>
        </w:rPr>
      </w:r>
      <w:r/>
    </w:p>
    <w:p>
      <w:pPr>
        <w:pStyle w:val="1030"/>
        <w:ind w:firstLine="420"/>
        <w:spacing w:line="440" w:lineRule="exact"/>
        <w:rPr>
          <w:rFonts w:ascii="宋体" w:hAnsi="宋体" w:cs="宋体"/>
          <w:b/>
          <w:szCs w:val="21"/>
        </w:rPr>
      </w:pPr>
      <w:r>
        <w:rPr>
          <w:rFonts w:hint="eastAsia" w:ascii="宋体" w:hAnsi="宋体" w:cs="宋体"/>
          <w:szCs w:val="21"/>
        </w:rPr>
        <w:t xml:space="preserve">安装方式：面板式嵌入式。</w:t>
      </w:r>
      <w:r>
        <w:rPr>
          <w:rFonts w:ascii="宋体" w:hAnsi="宋体" w:cs="宋体"/>
          <w:b/>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（5）多联机通信网关</w:t>
      </w:r>
      <w:r>
        <w:rPr>
          <w:rFonts w:ascii="宋体" w:hAnsi="宋体" w:cs="宋体"/>
          <w:b/>
          <w:szCs w:val="21"/>
        </w:rPr>
      </w:r>
      <w:r/>
    </w:p>
    <w:p>
      <w:pPr>
        <w:pStyle w:val="1053"/>
        <w:ind w:firstLine="420"/>
        <w:spacing w:line="440" w:lineRule="exact"/>
        <w:rPr>
          <w:rFonts w:hint="eastAsia" w:cs="宋体"/>
          <w:szCs w:val="21"/>
        </w:rPr>
      </w:pPr>
      <w:r>
        <w:rPr>
          <w:rFonts w:hint="eastAsia" w:cs="宋体"/>
          <w:szCs w:val="21"/>
        </w:rPr>
        <w:t xml:space="preserve">①支持市面上主流多联机空调系统，支持数据采集、数据上报、集中管控等功能。</w:t>
      </w:r>
      <w:r>
        <w:rPr>
          <w:rFonts w:hint="eastAsia" w:cs="宋体"/>
          <w:szCs w:val="21"/>
        </w:rPr>
      </w:r>
      <w:r/>
    </w:p>
    <w:p>
      <w:pPr>
        <w:pStyle w:val="1053"/>
        <w:ind w:firstLine="420"/>
        <w:spacing w:line="440" w:lineRule="exact"/>
        <w:rPr>
          <w:rFonts w:hint="eastAsia" w:cs="宋体"/>
          <w:szCs w:val="21"/>
        </w:rPr>
      </w:pPr>
      <w:r>
        <w:rPr>
          <w:rFonts w:hint="eastAsia" w:cs="宋体"/>
          <w:szCs w:val="21"/>
        </w:rPr>
        <w:t xml:space="preserve">②性能指标：</w:t>
      </w:r>
      <w:r>
        <w:rPr>
          <w:rFonts w:hint="eastAsia" w:cs="宋体"/>
          <w:szCs w:val="21"/>
        </w:rPr>
      </w:r>
      <w:r/>
    </w:p>
    <w:p>
      <w:pPr>
        <w:pStyle w:val="1053"/>
        <w:ind w:firstLine="420"/>
        <w:spacing w:line="440" w:lineRule="exact"/>
        <w:rPr>
          <w:rFonts w:hint="eastAsia" w:cs="宋体"/>
          <w:szCs w:val="21"/>
        </w:rPr>
      </w:pPr>
      <w:r>
        <w:rPr>
          <w:rFonts w:hint="eastAsia" w:cs="宋体"/>
          <w:szCs w:val="21"/>
        </w:rPr>
        <w:t xml:space="preserve">电源输入：DC12V</w:t>
      </w:r>
      <w:r>
        <w:rPr>
          <w:rFonts w:hint="eastAsia" w:cs="宋体"/>
          <w:szCs w:val="21"/>
        </w:rPr>
      </w:r>
      <w:r/>
    </w:p>
    <w:p>
      <w:pPr>
        <w:pStyle w:val="1053"/>
        <w:ind w:firstLine="420"/>
        <w:spacing w:line="440" w:lineRule="exact"/>
        <w:rPr>
          <w:rFonts w:hint="eastAsia" w:cs="宋体"/>
          <w:szCs w:val="21"/>
        </w:rPr>
      </w:pPr>
      <w:r>
        <w:rPr>
          <w:rFonts w:hint="eastAsia" w:cs="宋体"/>
          <w:szCs w:val="21"/>
        </w:rPr>
        <w:t xml:space="preserve">待机功耗：&lt;2W</w:t>
      </w:r>
      <w:r>
        <w:rPr>
          <w:rFonts w:hint="eastAsia" w:cs="宋体"/>
          <w:szCs w:val="21"/>
        </w:rPr>
      </w:r>
      <w:r/>
    </w:p>
    <w:p>
      <w:pPr>
        <w:pStyle w:val="1053"/>
        <w:ind w:firstLine="420"/>
        <w:spacing w:line="440" w:lineRule="exact"/>
        <w:rPr>
          <w:rFonts w:hint="eastAsia" w:cs="宋体"/>
          <w:szCs w:val="21"/>
        </w:rPr>
      </w:pPr>
      <w:r>
        <w:rPr>
          <w:rFonts w:hint="eastAsia" w:cs="宋体"/>
          <w:szCs w:val="21"/>
        </w:rPr>
        <w:t xml:space="preserve">以太网接口：1路10/100M以太网</w:t>
      </w:r>
      <w:r>
        <w:rPr>
          <w:rFonts w:hint="eastAsia" w:cs="宋体"/>
          <w:szCs w:val="21"/>
        </w:rPr>
      </w:r>
      <w:r/>
    </w:p>
    <w:p>
      <w:pPr>
        <w:pStyle w:val="1053"/>
        <w:ind w:firstLine="420"/>
        <w:spacing w:line="440" w:lineRule="exact"/>
        <w:rPr>
          <w:rFonts w:hint="eastAsia" w:cs="宋体"/>
          <w:szCs w:val="21"/>
        </w:rPr>
      </w:pPr>
      <w:r>
        <w:rPr>
          <w:rFonts w:hint="eastAsia" w:cs="宋体"/>
          <w:szCs w:val="21"/>
        </w:rPr>
        <w:t xml:space="preserve">4G接口：内置4G CAT.1通信模块</w:t>
      </w:r>
      <w:r>
        <w:rPr>
          <w:rFonts w:hint="eastAsia" w:cs="宋体"/>
          <w:szCs w:val="21"/>
        </w:rPr>
      </w:r>
      <w:r/>
    </w:p>
    <w:p>
      <w:pPr>
        <w:pStyle w:val="1053"/>
        <w:ind w:firstLine="420"/>
        <w:spacing w:line="440" w:lineRule="exact"/>
        <w:rPr>
          <w:rFonts w:cs="宋体"/>
          <w:szCs w:val="21"/>
        </w:rPr>
      </w:pPr>
      <w:r>
        <w:rPr>
          <w:rFonts w:hint="eastAsia" w:cs="宋体"/>
          <w:szCs w:val="21"/>
        </w:rPr>
        <w:t xml:space="preserve">工作温度：-10~60°C</w:t>
      </w:r>
      <w:r>
        <w:rPr>
          <w:rFonts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（6）分体空调控制器（柜式）</w:t>
      </w:r>
      <w:r>
        <w:rPr>
          <w:rFonts w:ascii="宋体" w:hAnsi="宋体" w:cs="宋体"/>
          <w:b/>
          <w:szCs w:val="21"/>
        </w:rPr>
      </w:r>
      <w:r/>
    </w:p>
    <w:p>
      <w:pPr>
        <w:pStyle w:val="1030"/>
        <w:ind w:left="480"/>
        <w:jc w:val="left"/>
        <w:spacing w:line="360" w:lineRule="auto"/>
        <w:rPr>
          <w:rFonts w:hint="eastAsia" w:ascii="宋体" w:hAnsi="宋体"/>
          <w:szCs w:val="21"/>
        </w:rPr>
      </w:pPr>
      <w:r>
        <w:rPr>
          <w:rFonts w:hint="eastAsia" w:ascii="宋体" w:hAnsi="宋体"/>
          <w:szCs w:val="21"/>
        </w:rPr>
        <w:t xml:space="preserve">①内置空调红外码库，支持市面上主流分体空调，支持负荷监测、集中管控、空调软关机、数据上报等功能。</w:t>
      </w:r>
      <w:r>
        <w:rPr>
          <w:rFonts w:hint="eastAsia" w:ascii="宋体" w:hAnsi="宋体"/>
          <w:szCs w:val="21"/>
        </w:rPr>
      </w:r>
      <w:r/>
    </w:p>
    <w:p>
      <w:pPr>
        <w:pStyle w:val="1030"/>
        <w:ind w:left="480"/>
        <w:jc w:val="left"/>
        <w:spacing w:line="360" w:lineRule="auto"/>
        <w:rPr>
          <w:rFonts w:hint="eastAsia" w:ascii="宋体" w:hAnsi="宋体"/>
          <w:szCs w:val="21"/>
        </w:rPr>
      </w:pPr>
      <w:r>
        <w:rPr>
          <w:rFonts w:hint="eastAsia" w:ascii="宋体" w:hAnsi="宋体"/>
          <w:szCs w:val="21"/>
        </w:rPr>
        <w:t xml:space="preserve">②性能指标：</w:t>
      </w:r>
      <w:r>
        <w:rPr>
          <w:rFonts w:hint="eastAsia" w:ascii="宋体" w:hAnsi="宋体"/>
          <w:szCs w:val="21"/>
        </w:rPr>
      </w:r>
      <w:r/>
    </w:p>
    <w:p>
      <w:pPr>
        <w:pStyle w:val="1030"/>
        <w:ind w:left="480"/>
        <w:jc w:val="left"/>
        <w:spacing w:line="360" w:lineRule="auto"/>
        <w:rPr>
          <w:rFonts w:hint="eastAsia" w:ascii="宋体" w:hAnsi="宋体"/>
          <w:szCs w:val="21"/>
        </w:rPr>
      </w:pPr>
      <w:r>
        <w:rPr>
          <w:rFonts w:hint="eastAsia" w:ascii="宋体" w:hAnsi="宋体"/>
          <w:szCs w:val="21"/>
        </w:rPr>
        <w:t xml:space="preserve">额定电压：220VAC(380VAC)</w:t>
      </w:r>
      <w:r>
        <w:rPr>
          <w:rFonts w:hint="eastAsia" w:ascii="宋体" w:hAnsi="宋体"/>
          <w:szCs w:val="21"/>
        </w:rPr>
      </w:r>
      <w:r/>
    </w:p>
    <w:p>
      <w:pPr>
        <w:pStyle w:val="1030"/>
        <w:ind w:left="480"/>
        <w:jc w:val="left"/>
        <w:spacing w:line="360" w:lineRule="auto"/>
        <w:rPr>
          <w:rFonts w:hint="eastAsia" w:ascii="宋体" w:hAnsi="宋体"/>
          <w:szCs w:val="21"/>
        </w:rPr>
      </w:pPr>
      <w:r>
        <w:rPr>
          <w:rFonts w:hint="eastAsia" w:ascii="宋体" w:hAnsi="宋体"/>
          <w:szCs w:val="21"/>
        </w:rPr>
        <w:t xml:space="preserve">额定电流：5(60)A</w:t>
      </w:r>
      <w:r>
        <w:rPr>
          <w:rFonts w:hint="eastAsia" w:ascii="宋体" w:hAnsi="宋体"/>
          <w:szCs w:val="21"/>
        </w:rPr>
      </w:r>
      <w:r/>
    </w:p>
    <w:p>
      <w:pPr>
        <w:pStyle w:val="1030"/>
        <w:ind w:left="480"/>
        <w:jc w:val="left"/>
        <w:spacing w:line="360" w:lineRule="auto"/>
        <w:rPr>
          <w:rFonts w:hint="eastAsia" w:ascii="宋体" w:hAnsi="宋体"/>
          <w:szCs w:val="21"/>
        </w:rPr>
      </w:pPr>
      <w:r>
        <w:rPr>
          <w:rFonts w:hint="eastAsia" w:ascii="宋体" w:hAnsi="宋体"/>
          <w:szCs w:val="21"/>
        </w:rPr>
        <w:t xml:space="preserve">上行通信：4G(CAT.1)</w:t>
      </w:r>
      <w:r>
        <w:rPr>
          <w:rFonts w:hint="eastAsia" w:ascii="宋体" w:hAnsi="宋体"/>
          <w:szCs w:val="21"/>
        </w:rPr>
      </w:r>
      <w:r/>
    </w:p>
    <w:p>
      <w:pPr>
        <w:pStyle w:val="1030"/>
        <w:ind w:left="480"/>
        <w:jc w:val="left"/>
        <w:spacing w:line="360" w:lineRule="auto"/>
        <w:rPr>
          <w:rFonts w:hint="eastAsia" w:ascii="宋体" w:hAnsi="宋体"/>
          <w:szCs w:val="21"/>
        </w:rPr>
      </w:pPr>
      <w:r>
        <w:rPr>
          <w:rFonts w:hint="eastAsia" w:ascii="宋体" w:hAnsi="宋体"/>
          <w:szCs w:val="21"/>
        </w:rPr>
        <w:t xml:space="preserve">计量精度：2级</w:t>
      </w:r>
      <w:r>
        <w:rPr>
          <w:rFonts w:hint="eastAsia" w:ascii="宋体" w:hAnsi="宋体"/>
          <w:szCs w:val="21"/>
        </w:rPr>
      </w:r>
      <w:r/>
    </w:p>
    <w:p>
      <w:pPr>
        <w:pStyle w:val="1030"/>
        <w:ind w:left="480"/>
        <w:jc w:val="left"/>
        <w:spacing w:line="360" w:lineRule="auto"/>
        <w:rPr>
          <w:rFonts w:ascii="宋体" w:hAnsi="宋体"/>
          <w:szCs w:val="21"/>
        </w:rPr>
      </w:pPr>
      <w:r>
        <w:rPr>
          <w:rFonts w:hint="eastAsia" w:ascii="宋体" w:hAnsi="宋体"/>
          <w:szCs w:val="21"/>
        </w:rPr>
        <w:t xml:space="preserve">工作温度：-10~60°C</w:t>
      </w:r>
      <w:r>
        <w:rPr>
          <w:rFonts w:ascii="宋体" w:hAnsi="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（7）分体空调控制器（壁挂式）</w:t>
      </w:r>
      <w:r>
        <w:rPr>
          <w:rFonts w:ascii="宋体" w:hAnsi="宋体" w:cs="宋体"/>
          <w:b/>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①内置空调红外码库，支持市面上主流分体空调，支持负荷监测、集中管控、空调软关机、数据上报等功能。</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②性能指标：</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额定电压：220VAC</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额定电流：5(16)A</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上行通信：4G(CAT.1)</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计量精度：2级</w:t>
      </w:r>
      <w:r>
        <w:rPr>
          <w:rFonts w:hint="eastAsia" w:ascii="宋体" w:hAnsi="宋体" w:cs="宋体"/>
          <w:szCs w:val="21"/>
        </w:rPr>
      </w:r>
      <w:r/>
    </w:p>
    <w:p>
      <w:pPr>
        <w:pStyle w:val="1030"/>
        <w:ind w:left="480"/>
        <w:jc w:val="left"/>
        <w:spacing w:line="360" w:lineRule="auto"/>
        <w:widowControl/>
        <w:rPr>
          <w:rFonts w:ascii="宋体" w:hAnsi="宋体" w:cs="宋体"/>
          <w:szCs w:val="21"/>
        </w:rPr>
      </w:pPr>
      <w:r>
        <w:rPr>
          <w:rFonts w:hint="eastAsia" w:ascii="宋体" w:hAnsi="宋体" w:cs="宋体"/>
          <w:szCs w:val="21"/>
        </w:rPr>
        <w:t xml:space="preserve">工作温度：-10~60°C</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（8）智能数据网关</w:t>
      </w:r>
      <w:r>
        <w:rPr>
          <w:rFonts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6492"/>
      </w:tblGrid>
      <w:tr>
        <w:trPr/>
        <w:tc>
          <w:tcPr>
            <w:gridSpan w:val="2"/>
            <w:tcW w:w="8522"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硬件参数</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CPU</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工业级ARM Cortex-A8 800MHz</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内存</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512MB</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存储</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256MB Nand，可扩展4GB存储卡</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网口</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2路百兆网口</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串口</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6路RS485接口（可扩展成RS232或MBus等接口）；按RS485组网标准，每路RS485接口最多接入32个RS485终端设备。</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Console端口</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RJ-45接口形态</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Usb</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2个Usb Host接口</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时钟</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硬件实时时钟(RTC)，超级电容供电。</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安装方式</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壁挂</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外壳</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金属结构</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防护等级</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IP30</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散热方式</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无风扇散热</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电源输入</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AC220V</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工作温度</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-10℃~+60℃</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环境湿度</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5 ~ 95% (无凝霜)</w:t>
            </w:r>
            <w:r>
              <w:rPr>
                <w:rFonts w:ascii="宋体" w:hAnsi="宋体" w:cs="宋体"/>
                <w:szCs w:val="21"/>
              </w:rPr>
            </w:r>
            <w:r/>
          </w:p>
        </w:tc>
      </w:tr>
      <w:tr>
        <w:trPr/>
        <w:tc>
          <w:tcPr>
            <w:gridSpan w:val="2"/>
            <w:tcW w:w="8522"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EMC指标</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静电放电</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GB/T17618-2015，GB/T17626.2-2006</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射频电磁场辐射</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GB/T17618-2015，GB/T17626.3-2006</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电快速瞬变脉冲群</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GB/T17618-2015，GB/T17626.4-2008</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浪涌(冲击)</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GB/T17618-2015，GB/T17626.5-2008</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传导骚扰</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GB/T9254-2008 第5.1条A级</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电信端口的传导共模骚扰</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GB/T9254-2008 第5.2条 A级</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辐射骚扰</w:t>
            </w:r>
            <w:r>
              <w:rPr>
                <w:rFonts w:ascii="宋体" w:hAnsi="宋体" w:cs="宋体"/>
                <w:szCs w:val="21"/>
              </w:rPr>
            </w:r>
            <w:r/>
          </w:p>
        </w:tc>
        <w:tc>
          <w:tcPr>
            <w:tcW w:w="3809"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GB/T9254-2008 第6.1条 A级</w:t>
            </w:r>
            <w:r>
              <w:rPr>
                <w:rFonts w:ascii="宋体" w:hAnsi="宋体" w:cs="宋体"/>
                <w:szCs w:val="21"/>
              </w:rPr>
            </w:r>
            <w:r/>
          </w:p>
        </w:tc>
      </w:tr>
      <w:tr>
        <w:trPr/>
        <w:tc>
          <w:tcPr>
            <w:gridSpan w:val="2"/>
            <w:tcW w:w="8522"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软件参数</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网络工具</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Ping、Traceroute、 DHCP服务器/中继/客户端、 DNS中继、动态域名DDNS 、Telnet、SSH、HTTP、HTTPS、TFTP、FTP、SFTP</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配置方式</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本地或远程基于HTTP或HTTPS的Web可视化配置</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升级方式</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本地升级、远程Web升级、SFTP升级。</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校时服务</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内置NTP自动校时服务，可以设置多个时钟服务器地址。</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按需采集</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可以通过配置选择需要的参数，不需要的参数不采集；每个参数可设置独立的采集周期，最小值达到1秒。</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按需上报</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可以通过配置选择需要上报的参数；每个参数可以独立设置上报周期与上报触发机制。</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按需存储</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每个参数具有存储开关，且可以独立设置存储触发机制；数据存储时间可以达到一年。</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虚拟计算</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支持加、减、乘、除等算术运算，与、或、非、异或、按位与、按位或、按位异或、大于、小于等逻辑运算，及求和、求根、开方等函数运算。</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虚拟设备</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支持设备功能的虚拟化扩展。</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南向协议</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支持DL/T 645-1997、DL/T 645-2007、CJ/T 188-2004、ModbusRTU、ModbusTcp及Bacnet等标准协议，非标准协议支持javascript扩展。</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北向协议</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支持ModbusTcp、Bacnet等标准协议，支持定制扩展。</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报文实时监测</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支持实时监测串口的通讯报文，方便远程调试设备，定位故障。</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串口调试</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具有串口调试工具，方便远程调试设备，定位故障。</w:t>
            </w:r>
            <w:r>
              <w:rPr>
                <w:rFonts w:ascii="宋体" w:hAnsi="宋体" w:cs="宋体"/>
                <w:szCs w:val="21"/>
              </w:rPr>
            </w:r>
            <w:r/>
          </w:p>
        </w:tc>
      </w:tr>
      <w:tr>
        <w:trPr/>
        <w:tc>
          <w:tcPr>
            <w:tcW w:w="1191" w:type="dxa"/>
            <w:vAlign w:val="center"/>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串口分配</w:t>
            </w:r>
            <w:r>
              <w:rPr>
                <w:rFonts w:ascii="宋体" w:hAnsi="宋体" w:cs="宋体"/>
                <w:szCs w:val="21"/>
              </w:rPr>
            </w:r>
            <w:r/>
          </w:p>
        </w:tc>
        <w:tc>
          <w:tcPr>
            <w:tcW w:w="3809" w:type="dxa"/>
            <w:vAlign w:val="top"/>
            <w:textDirection w:val="lrTb"/>
            <w:noWrap w:val="false"/>
          </w:tcPr>
          <w:p>
            <w:pPr>
              <w:pStyle w:val="1030"/>
              <w:jc w:val="center"/>
              <w:spacing w:line="440" w:lineRule="exact"/>
              <w:rPr>
                <w:rFonts w:ascii="宋体" w:hAnsi="宋体" w:cs="宋体"/>
                <w:szCs w:val="21"/>
              </w:rPr>
            </w:pPr>
            <w:r>
              <w:rPr>
                <w:rFonts w:hint="eastAsia" w:ascii="宋体" w:hAnsi="宋体" w:cs="宋体"/>
                <w:szCs w:val="21"/>
              </w:rPr>
              <w:t xml:space="preserve">支持串口分配功能，实现多主站。</w:t>
            </w:r>
            <w:r>
              <w:rPr>
                <w:rFonts w:ascii="宋体" w:hAnsi="宋体" w:cs="宋体"/>
                <w:szCs w:val="21"/>
              </w:rPr>
            </w:r>
            <w:r/>
          </w:p>
        </w:tc>
      </w:tr>
    </w:tbl>
    <w:p>
      <w:pPr>
        <w:pStyle w:val="1030"/>
        <w:ind w:firstLine="422"/>
        <w:spacing w:line="440" w:lineRule="exact"/>
        <w:widowControl/>
        <w:rPr>
          <w:rFonts w:ascii="宋体" w:hAnsi="宋体" w:cs="宋体"/>
          <w:b/>
          <w:szCs w:val="21"/>
        </w:rPr>
      </w:pPr>
      <w:r>
        <w:rPr>
          <w:rFonts w:hint="eastAsia" w:ascii="宋体" w:hAnsi="宋体" w:cs="宋体"/>
          <w:b/>
          <w:szCs w:val="21"/>
        </w:rPr>
        <w:t xml:space="preserve">（9）电计量控制器（开水器）</w:t>
      </w:r>
      <w:r>
        <w:rPr>
          <w:rFonts w:ascii="宋体" w:hAnsi="宋体" w:cs="宋体"/>
          <w:b/>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①支持电能监测、集中管控、数据上报等功能。</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②性能指标：</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额定电压：220VAC(380VAC)</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额定电流：3*5(60)A</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继电器触点负载(阻性)：80A 250VAC</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上行通信：4G(CAT1)、1路RS485</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计量精度：2级</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工作温度：-10~60°C</w:t>
      </w:r>
      <w:r>
        <w:rPr>
          <w:rFonts w:hint="eastAsia"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（10）电计量控制器（小厨宝）</w:t>
      </w:r>
      <w:r>
        <w:rPr>
          <w:rFonts w:ascii="宋体" w:hAnsi="宋体" w:cs="宋体"/>
          <w:b/>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①支持电能监测、集中管控、数据上报等功能。</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②性能指标：</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额定电压：220VAC</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额定电流：5(16)A</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继电器触点负载(阻性)：16A 250VAC</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上行通信：4G(CAT1)</w:t>
      </w:r>
      <w:r>
        <w:rPr>
          <w:rFonts w:hint="eastAsia" w:ascii="宋体" w:hAnsi="宋体" w:cs="宋体"/>
          <w:szCs w:val="21"/>
        </w:rPr>
      </w:r>
      <w:r/>
    </w:p>
    <w:p>
      <w:pPr>
        <w:pStyle w:val="1030"/>
        <w:ind w:left="480"/>
        <w:jc w:val="left"/>
        <w:spacing w:line="360" w:lineRule="auto"/>
        <w:widowControl/>
        <w:rPr>
          <w:rFonts w:hint="eastAsia" w:ascii="宋体" w:hAnsi="宋体" w:cs="宋体"/>
          <w:szCs w:val="21"/>
        </w:rPr>
      </w:pPr>
      <w:r>
        <w:rPr>
          <w:rFonts w:hint="eastAsia" w:ascii="宋体" w:hAnsi="宋体" w:cs="宋体"/>
          <w:szCs w:val="21"/>
        </w:rPr>
        <w:t xml:space="preserve">计量精度：2级</w:t>
      </w:r>
      <w:r>
        <w:rPr>
          <w:rFonts w:hint="eastAsia" w:ascii="宋体" w:hAnsi="宋体" w:cs="宋体"/>
          <w:szCs w:val="21"/>
        </w:rPr>
      </w:r>
      <w:r/>
    </w:p>
    <w:p>
      <w:pPr>
        <w:pStyle w:val="1030"/>
        <w:ind w:left="480"/>
        <w:jc w:val="left"/>
        <w:spacing w:line="360" w:lineRule="auto"/>
        <w:widowControl/>
        <w:rPr>
          <w:rFonts w:ascii="宋体" w:hAnsi="宋体" w:cs="宋体"/>
          <w:szCs w:val="21"/>
        </w:rPr>
      </w:pPr>
      <w:r>
        <w:rPr>
          <w:rFonts w:hint="eastAsia" w:ascii="宋体" w:hAnsi="宋体" w:cs="宋体"/>
          <w:szCs w:val="21"/>
        </w:rPr>
        <w:t xml:space="preserve">工作温度：-10~60°C</w:t>
      </w:r>
      <w:r>
        <w:rPr>
          <w:rFonts w:ascii="宋体" w:hAnsi="宋体" w:cs="宋体"/>
          <w:szCs w:val="21"/>
        </w:rPr>
      </w:r>
      <w:r/>
    </w:p>
    <w:p>
      <w:pPr>
        <w:pStyle w:val="1030"/>
        <w:ind w:firstLine="422"/>
        <w:spacing w:line="440" w:lineRule="exact"/>
        <w:widowControl/>
        <w:rPr>
          <w:rFonts w:ascii="宋体" w:hAnsi="宋体" w:cs="宋体"/>
          <w:b/>
          <w:szCs w:val="21"/>
        </w:rPr>
      </w:pPr>
      <w:r>
        <w:rPr>
          <w:rFonts w:hint="eastAsia" w:ascii="宋体" w:hAnsi="宋体" w:cs="宋体"/>
          <w:b/>
          <w:szCs w:val="21"/>
        </w:rPr>
        <w:t xml:space="preserve">3、相关说明：</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（1）中标单位在合同期限内仅拥有中标单位所投资的所有设备的产权，原采购人能源设备所有权均归采购人所有。</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2）在合同期限内，采购人、中标单位所有能源系统设备其日常运营管理、维护保养及产生的费用是由采购人投资的均由采购人承担；中标单位投资改造设备的日常操作、维护、保养工作仍由采购人原能源管理团队负责，但因维护保养及故障维修所产生的费用由中标单位承担。</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3）合同期满后，中标单位所投项目财产的所有权将以人民币0.1元移交给采购人，中标单位应保证项目财产正常运行，项目财产的所有权移交时，应同时移交本项目继续运行所必需的资料。如该项目财产的继续使用需要乙方的相关技术或相关知识产权的授权，供应商应当无偿向采购人提供仅适用于本项目的该等授权。如该项目财产的继续使用涉及第三方的服务，该服务的费用由采购人承担。</w:t>
      </w:r>
      <w:r>
        <w:rPr>
          <w:rFonts w:ascii="宋体" w:hAnsi="宋体" w:cs="宋体"/>
          <w:szCs w:val="21"/>
        </w:rPr>
      </w:r>
      <w:r/>
    </w:p>
    <w:p>
      <w:pPr>
        <w:pStyle w:val="1030"/>
        <w:ind w:firstLine="422"/>
        <w:spacing w:line="440" w:lineRule="exact"/>
        <w:rPr>
          <w:rFonts w:ascii="宋体" w:hAnsi="宋体" w:cs="宋体"/>
          <w:b/>
          <w:szCs w:val="21"/>
        </w:rPr>
      </w:pPr>
      <w:r>
        <w:rPr>
          <w:rFonts w:hint="eastAsia" w:ascii="宋体" w:hAnsi="宋体" w:cs="宋体"/>
          <w:b/>
          <w:szCs w:val="21"/>
        </w:rPr>
        <w:t xml:space="preserve">四、管理要求：</w:t>
      </w:r>
      <w:r>
        <w:rPr>
          <w:rFonts w:ascii="宋体" w:hAnsi="宋体" w:cs="宋体"/>
          <w:b/>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1、人员组织</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供应商应配备专业技术团队为本项目提供专业技术支持服务，专业技术人员应来自不同的专业领域，如网络专家、暖通设备专家、电力系统专家以及其它专业业务专家等。同时专家团队应对采购人指派的操作人员进行适当的培训，以使其能承担相应的操作和设施维护要求。合同期内供应商应当确保其工作人员或者其聘请的第三方在项目实施、运行的整个过程中遵守采购人的相关规章制度。</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2、进度管理</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供应商应有详细计划，明确每个阶段的阶段目标、阶段交付物的成果、验收依据、双方的责任和义务等。节能改造实施方案经采购人同意，供应商应按项目方案文件规定的技术标准和要求以及本合同的规定，在合同签订之日起120天内完成本项目的方案设计、建设及验收。</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3、风险管理</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实际运行过程中，风险随时可能出现，供应商应根据项目实际情况加强风险管理，做好风险的识别，风险的量化分析，制定风险的应对预案。供应商应当确保其工作人员和其聘请的第三方严格遵守采购人有关施工场地安全和卫生等方面的规定，并听从采购人合理的现场指挥。</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4、服务质量</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5、文档要求</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供应商应依照要求提供服务周期内的各类文档，除特别要求的文档，可采用电子文档的形式；供应商应按照采购人规定的文档格式、文档要求、提交周期准时提交相关文档；供应商应提供所有的文档，主要包括：各项问题分析报告、典型经验总结、系统数据报告、系统数据分析报告、系统的优化建议方案等；除了常规报告类的文档，供应商需按照服务要求提供相关技术方案等临时性文档，还应配合采购人进行相关项目验收的资料准备、各项规章制度的编制、完善等文档类工作。</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6、知识产权</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对于结合采购人专门服务需求开发的部分，采购人享有知识产权。供应商在项目服务过程中涉及第三方产品，若出现技术、经济或法律上的纠纷，应由供应商全面承担并全权解决，确保不影响工作的正常开展。</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7、合同变更要求</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如在项目服务过程中需要调整合同中规定的工作内容，需经供应商与采购人共同同意，按合同变更程序办理。</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8、保密要求</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（1）供应商必须严格遵守采购人信息安全方面的要求。对于参与项目的人员均需要签订统一的信息保密协议。</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（2）供应商应对以下信息进行保密，具体包括：</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项目信息：如业务流程、技术方案、业务数据（静态数据、动态数据、历史数据）、报表指标、技术指标、计算机软件、数据库、操作手册、技术资料等。</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保密信息既包括书面认定为保密或专有的，又包括口头给予，随即被书面确认为保密或专有的信息。保密信息存储介质包括但不限于纸质文档、电子文档、光盘、U盘、服务器等文档。</w:t>
      </w:r>
      <w:r>
        <w:rPr>
          <w:rFonts w:ascii="宋体" w:hAnsi="宋体" w:cs="宋体"/>
          <w:szCs w:val="21"/>
        </w:rPr>
      </w:r>
      <w:r/>
    </w:p>
    <w:p>
      <w:pPr>
        <w:pStyle w:val="1030"/>
        <w:ind w:firstLine="420"/>
        <w:spacing w:line="440" w:lineRule="exact"/>
        <w:widowControl/>
        <w:rPr>
          <w:rFonts w:ascii="宋体" w:hAnsi="宋体" w:cs="宋体"/>
          <w:szCs w:val="21"/>
        </w:rPr>
      </w:pPr>
      <w:r>
        <w:rPr>
          <w:rFonts w:hint="eastAsia" w:ascii="宋体" w:hAnsi="宋体" w:cs="宋体"/>
          <w:szCs w:val="21"/>
        </w:rPr>
        <w:t xml:space="preserve">（3）供应商组建的项目成员在项目单位履行职责期间，必须遵守采购人规定的任何成文或不成文的保密规章、制度，履行与其工作岗位相应的保密职责。不向不承担相应保密义务的任何第三人披露采购人的商业秘密。</w:t>
      </w:r>
      <w:r>
        <w:rPr>
          <w:rFonts w:ascii="宋体" w:hAnsi="宋体" w:cs="宋体"/>
          <w:szCs w:val="21"/>
        </w:rPr>
      </w:r>
      <w:r/>
    </w:p>
    <w:p>
      <w:pPr>
        <w:pStyle w:val="1030"/>
        <w:ind w:firstLine="422"/>
        <w:spacing w:line="440" w:lineRule="exact"/>
        <w:rPr>
          <w:rFonts w:ascii="宋体" w:hAnsi="宋体" w:cs="宋体"/>
          <w:b/>
          <w:bCs/>
          <w:szCs w:val="21"/>
        </w:rPr>
      </w:pPr>
      <w:r>
        <w:rPr>
          <w:rFonts w:hint="eastAsia" w:ascii="宋体" w:hAnsi="宋体" w:cs="宋体"/>
          <w:b/>
          <w:szCs w:val="21"/>
        </w:rPr>
        <w:t xml:space="preserve">五、其他要求：</w:t>
      </w:r>
      <w:r>
        <w:rPr>
          <w:rFonts w:ascii="宋体" w:hAnsi="宋体" w:cs="宋体"/>
          <w:b/>
          <w:bCs/>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1、因国家相关部门或能源供应公司给予采购人、供应商优惠政策而降低的能源费用应根据优惠政策条件由各方各自受益。</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2、如单位年度内发生用能设备增减（5kW及以上）、用能时间增减、用能区域增减、极端天气及设备损坏、遭外力破坏、办公人员增减（10人及以上）、能源资源价格调整等原因导致的能源消耗发生重大变化，双方依据合同约定的调整方式或聘请第三方核定机构确定变化量，具体方式以书面补充协议形式确定。</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3、本项目改造建设周期：合同签订之日起120日历天。</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4、考核要求：</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供暖质量：供暖季保证每天室内温度满足不低于20℃的条件。</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供冷质量：供冷季保证每天室内温度满足不高于26℃的条件。</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服务指标：项目服务满意率95%以上；能源消耗量、能源费用、峰谷电比等核心数据维持较好应用水平，并呈现持续改进态势。</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服务时间：提供365天*24小时的不间断运维服务指导，为用户提供最灵活的用能体验。</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故障响应时间：设备发生故障应在2小时内予以响应，8小时内修复，因特殊零配件原因48小时内修复，并持续协助故障的最终解答或解决。</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项目保障：建立健全项目相关组织构架、设备、系统、记录、创新、奖惩等各环节、多维度的规章制度，并执行到位。</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供暖、供冷周期：供暖周期一般为1月1日至3月15日和11月15日至12月31日，供冷周期一般为5月25日至9月25日，如采购人提出个性化需求，则以采购人需求为准</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5、质量要求：符合国家相关技术规范和要求。</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6、</w:t>
      </w:r>
      <w:r>
        <w:rPr>
          <w:rFonts w:hint="eastAsia" w:ascii="宋体" w:hAnsi="宋体" w:cs="宋体"/>
          <w:szCs w:val="21"/>
          <w:lang w:eastAsia="zh-CN"/>
        </w:rPr>
        <w:t xml:space="preserve">合同履行期限</w:t>
      </w:r>
      <w:r>
        <w:rPr>
          <w:rFonts w:hint="eastAsia" w:ascii="宋体" w:hAnsi="宋体" w:cs="宋体"/>
          <w:szCs w:val="21"/>
        </w:rPr>
        <w:t xml:space="preserve">：8年(其中光伏托管周期为25年，从项目验收之日起的次月1号进入运维期）。</w:t>
      </w:r>
      <w:r>
        <w:rPr>
          <w:rFonts w:ascii="宋体" w:hAnsi="宋体" w:cs="宋体"/>
          <w:szCs w:val="21"/>
        </w:rPr>
      </w:r>
      <w:r/>
    </w:p>
    <w:p>
      <w:pPr>
        <w:pStyle w:val="1030"/>
        <w:ind w:firstLine="422"/>
        <w:spacing w:line="440" w:lineRule="exact"/>
        <w:rPr>
          <w:rFonts w:ascii="宋体" w:hAnsi="宋体" w:cs="宋体"/>
          <w:b/>
          <w:szCs w:val="21"/>
        </w:rPr>
      </w:pPr>
      <w:r>
        <w:rPr>
          <w:rFonts w:hint="eastAsia" w:ascii="宋体" w:hAnsi="宋体" w:cs="宋体"/>
          <w:b/>
          <w:szCs w:val="21"/>
        </w:rPr>
        <w:t xml:space="preserve">六、综合说明：</w:t>
      </w:r>
      <w:r>
        <w:rPr>
          <w:rFonts w:ascii="宋体" w:hAnsi="宋体" w:cs="宋体"/>
          <w:b/>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1、供应商必须承诺采购文件中提出的全部要求，如果其中某些条款不响应时，应在响应文件中逐条列出，未列出的视同响应。</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供应商</w:t>
      </w:r>
      <w:r>
        <w:rPr>
          <w:rFonts w:hint="eastAsia" w:ascii="宋体" w:hAnsi="宋体" w:cs="宋体"/>
          <w:szCs w:val="21"/>
          <w:lang w:val="zh-CN"/>
        </w:rPr>
        <w:t xml:space="preserve">报价包括但不限于软件产品、开发实施、数据采集与加工、实现本项目功能所需要的第三方软件及接口升级改造、项目涉及的设备、劳务、制作、维护、升级、培训、评估、保险、利润、税金、人员、交通、食宿、验收、检测等完成项目所需的一切费用。并综合考虑可能影响价格的各项因素。</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3、本项目中所供产品如属财政部最近一期节能产品、环境标志产品强制采购品目清单的，则供应商所投品目清单内产品的品牌和型号必须是节能、环保产品，采购文件中应当提供相应产品获得国家确定的认证机构出具的、处于有效期之内的节能产品认证证明材料，否则视为非实质性响应。具体要求请在中国政府采购网查询。</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本项目中所供产品如属于环境标志产品政府采购品目清单/节能产品政府采购品目清单内的优先采购产品，各供应商可提供由国家确定的认证机构出具的、处于有效期之内的节能产品、环境标志产品认证证书复印件。在评审报价折扣率相同情况下，提供优先采购产品更多的供应商优先中标。在提供的优先采购产品数量也相同情况下，则由评审委员会组织以抽签方式确定中标单位。</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4、验收标准：</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（1）按照现行国家规范、标准的要求及江苏省、扬州市的有关规定等及招标文件要求执行。</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（2）中标单位要承担成果验收时的相关费用。</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3）中标单位应当于项目完成之日书面通知采购单位验收，采购单位组织有关专家，依据本项目合同约定使用的技术标准和技术要求，对中标单位所完成的工作完成验收，并提出成果验收报告书，特殊情况另行协商。对中标单位所提供的成果质量有争议的，由项目所在地的主管部门裁决，其费用由败诉方承担。</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5、中标单位为本项目配备的所有服务人员若人员在服务期间内出现的工伤及其他意外事故，均由中标单位自行负责，采购单位不承担任何责任。</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6、采购文件中内容与合同主要条款中内容如有冲突，以采购文件中内容为准。</w:t>
      </w:r>
      <w:r>
        <w:rPr>
          <w:rFonts w:ascii="宋体" w:hAnsi="宋体" w:cs="宋体"/>
          <w:szCs w:val="21"/>
        </w:rPr>
      </w:r>
      <w:r/>
    </w:p>
    <w:p>
      <w:pPr>
        <w:pStyle w:val="1030"/>
        <w:ind w:firstLine="420"/>
        <w:spacing w:line="440" w:lineRule="exact"/>
        <w:rPr>
          <w:rFonts w:ascii="宋体" w:hAnsi="宋体" w:cs="宋体"/>
          <w:szCs w:val="21"/>
        </w:rPr>
      </w:pPr>
      <w:r>
        <w:rPr>
          <w:rFonts w:hint="eastAsia" w:ascii="宋体" w:hAnsi="宋体" w:cs="宋体"/>
          <w:szCs w:val="21"/>
        </w:rPr>
        <w:t xml:space="preserve">7、凡涉及采购文件的补充说明和修改，均以“江苏省政府采购网”、“扬州市政府采购网”、“扬州市广陵区政府采购网”网上发布的公告为准。</w:t>
      </w:r>
      <w:r>
        <w:rPr>
          <w:rFonts w:ascii="宋体" w:hAnsi="宋体" w:cs="宋体"/>
          <w:szCs w:val="21"/>
        </w:rPr>
      </w:r>
      <w:r/>
    </w:p>
    <w:p>
      <w:pPr>
        <w:pStyle w:val="1031"/>
        <w:jc w:val="center"/>
        <w:spacing w:line="240" w:lineRule="auto"/>
        <w:rPr>
          <w:rFonts w:hint="eastAsia" w:ascii="宋体" w:hAnsi="宋体"/>
          <w:sz w:val="36"/>
        </w:rPr>
      </w:pPr>
      <w:r/>
      <w:bookmarkEnd w:id="86"/>
      <w:r/>
      <w:bookmarkStart w:id="87" w:name="_Toc497133123"/>
      <w:r>
        <w:rPr>
          <w:rFonts w:hint="eastAsia" w:ascii="宋体" w:hAnsi="宋体"/>
          <w:sz w:val="36"/>
        </w:rPr>
        <w:br w:type="page" w:clear="all"/>
      </w:r>
      <w:r>
        <w:rPr>
          <w:rFonts w:hint="eastAsia" w:ascii="宋体" w:hAnsi="宋体"/>
          <w:sz w:val="36"/>
        </w:rPr>
        <w:t xml:space="preserve">第五章 评标方法及评标标准</w:t>
      </w:r>
      <w:r>
        <w:rPr>
          <w:rFonts w:hint="eastAsia" w:ascii="宋体" w:hAnsi="宋体"/>
          <w:sz w:val="36"/>
        </w:rPr>
      </w:r>
      <w:r/>
    </w:p>
    <w:p>
      <w:pPr>
        <w:pStyle w:val="1182"/>
        <w:ind w:firstLine="422"/>
        <w:spacing w:before="0" w:after="0"/>
        <w:rPr>
          <w:rFonts w:hint="eastAsia" w:ascii="宋体" w:hAnsi="宋体"/>
          <w:b/>
          <w:sz w:val="21"/>
          <w:szCs w:val="21"/>
        </w:rPr>
      </w:pPr>
      <w:r>
        <w:rPr>
          <w:rFonts w:hint="eastAsia" w:ascii="宋体" w:hAnsi="宋体"/>
          <w:b/>
          <w:sz w:val="21"/>
          <w:szCs w:val="21"/>
        </w:rPr>
        <w:t xml:space="preserve">一、评标方法</w:t>
      </w:r>
      <w:r>
        <w:rPr>
          <w:rFonts w:hint="eastAsia" w:ascii="宋体" w:hAnsi="宋体"/>
          <w:b/>
          <w:sz w:val="21"/>
          <w:szCs w:val="21"/>
        </w:rPr>
      </w:r>
      <w:r/>
    </w:p>
    <w:p>
      <w:pPr>
        <w:pStyle w:val="1182"/>
        <w:ind w:firstLine="420"/>
        <w:spacing w:before="0" w:after="0"/>
        <w:rPr>
          <w:rFonts w:hint="eastAsia"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sz w:val="21"/>
          <w:szCs w:val="21"/>
        </w:rPr>
      </w:r>
      <w:r/>
    </w:p>
    <w:p>
      <w:pPr>
        <w:pStyle w:val="1030"/>
        <w:ind w:firstLine="422"/>
        <w:spacing w:line="400" w:lineRule="exact"/>
        <w:rPr>
          <w:rFonts w:ascii="宋体" w:hAnsi="宋体" w:cs="宋体"/>
          <w:b/>
          <w:szCs w:val="21"/>
        </w:rPr>
      </w:pPr>
      <w:r/>
      <w:bookmarkStart w:id="88" w:name="_Toc449016388"/>
      <w:r/>
      <w:bookmarkStart w:id="89" w:name="_Toc449017024"/>
      <w:r>
        <w:rPr>
          <w:rFonts w:hint="eastAsia" w:ascii="宋体" w:hAnsi="宋体" w:cs="宋体"/>
          <w:b/>
          <w:szCs w:val="21"/>
        </w:rPr>
        <w:t xml:space="preserve">二、</w:t>
      </w:r>
      <w:bookmarkEnd w:id="88"/>
      <w:r/>
      <w:bookmarkEnd w:id="89"/>
      <w:r>
        <w:rPr>
          <w:rFonts w:hint="eastAsia" w:ascii="宋体" w:hAnsi="宋体" w:cs="宋体"/>
          <w:b/>
          <w:szCs w:val="21"/>
        </w:rPr>
        <w:t xml:space="preserve">政府采购政策功能落实</w:t>
      </w:r>
      <w:r>
        <w:rPr>
          <w:rFonts w:ascii="宋体" w:hAnsi="宋体" w:cs="宋体"/>
          <w:b/>
          <w:szCs w:val="21"/>
        </w:rPr>
      </w:r>
      <w:r/>
    </w:p>
    <w:p>
      <w:pPr>
        <w:pStyle w:val="1030"/>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szCs w:val="21"/>
        </w:rPr>
      </w:r>
      <w:r/>
    </w:p>
    <w:p>
      <w:pPr>
        <w:pStyle w:val="1182"/>
        <w:ind w:left="315" w:firstLine="105"/>
        <w:rPr>
          <w:rFonts w:ascii="宋体" w:hAnsi="宋体"/>
          <w:sz w:val="21"/>
          <w:szCs w:val="21"/>
        </w:rPr>
      </w:pPr>
      <w:r>
        <w:rPr>
          <w:rFonts w:ascii="宋体" w:hAnsi="宋体"/>
          <w:sz w:val="21"/>
          <w:szCs w:val="21"/>
        </w:rPr>
        <w:t xml:space="preserve">1、小微型企业价格扣除</w:t>
      </w:r>
      <w:r>
        <w:rPr>
          <w:rFonts w:ascii="宋体" w:hAnsi="宋体"/>
          <w:sz w:val="21"/>
          <w:szCs w:val="21"/>
        </w:rPr>
      </w:r>
      <w:r/>
    </w:p>
    <w:p>
      <w:pPr>
        <w:pStyle w:val="1182"/>
        <w:ind w:firstLine="42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rPr>
          <w:rFonts w:ascii="宋体" w:hAnsi="宋体"/>
          <w:sz w:val="21"/>
          <w:szCs w:val="21"/>
        </w:rPr>
      </w:r>
      <w:r/>
    </w:p>
    <w:p>
      <w:pPr>
        <w:pStyle w:val="1182"/>
        <w:ind w:firstLine="420"/>
        <w:rPr>
          <w:rFonts w:ascii="宋体" w:hAnsi="宋体"/>
          <w:sz w:val="21"/>
          <w:szCs w:val="21"/>
        </w:rPr>
      </w:pPr>
      <w:r>
        <w:rPr>
          <w:rFonts w:ascii="宋体" w:hAnsi="宋体"/>
          <w:sz w:val="21"/>
          <w:szCs w:val="21"/>
        </w:rPr>
        <w:t xml:space="preserve">（2）供应商需按照采购文件的要求提供相应的《</w:t>
      </w:r>
      <w:r>
        <w:rPr>
          <w:rFonts w:hint="eastAsia" w:ascii="宋体" w:hAnsi="宋体"/>
          <w:sz w:val="21"/>
          <w:szCs w:val="21"/>
        </w:rPr>
        <w:t xml:space="preserve">中小</w:t>
      </w:r>
      <w:r>
        <w:rPr>
          <w:rFonts w:ascii="宋体" w:hAnsi="宋体"/>
          <w:sz w:val="21"/>
          <w:szCs w:val="21"/>
        </w:rPr>
        <w:t xml:space="preserve">企业声明函》。</w:t>
      </w:r>
      <w:r>
        <w:rPr>
          <w:rFonts w:ascii="宋体" w:hAnsi="宋体"/>
          <w:sz w:val="21"/>
          <w:szCs w:val="21"/>
        </w:rPr>
      </w:r>
      <w:r/>
    </w:p>
    <w:p>
      <w:pPr>
        <w:pStyle w:val="1182"/>
        <w:ind w:left="420" w:firstLine="0"/>
        <w:rPr>
          <w:rFonts w:ascii="宋体" w:hAnsi="宋体"/>
          <w:sz w:val="21"/>
          <w:szCs w:val="21"/>
        </w:rPr>
      </w:pPr>
      <w:r>
        <w:rPr>
          <w:rFonts w:ascii="宋体" w:hAnsi="宋体"/>
          <w:sz w:val="21"/>
          <w:szCs w:val="21"/>
        </w:rPr>
        <w:t xml:space="preserve">2、残疾人福利单位价格扣除</w:t>
      </w:r>
      <w:r>
        <w:rPr>
          <w:rFonts w:ascii="宋体" w:hAnsi="宋体"/>
          <w:sz w:val="21"/>
          <w:szCs w:val="21"/>
        </w:rPr>
      </w:r>
      <w:r/>
    </w:p>
    <w:p>
      <w:pPr>
        <w:pStyle w:val="1182"/>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rPr>
          <w:rFonts w:ascii="宋体" w:hAnsi="宋体"/>
          <w:sz w:val="21"/>
          <w:szCs w:val="21"/>
        </w:rPr>
      </w:r>
      <w:r/>
    </w:p>
    <w:p>
      <w:pPr>
        <w:pStyle w:val="1182"/>
        <w:ind w:left="420" w:firstLine="0"/>
        <w:rPr>
          <w:rFonts w:ascii="宋体" w:hAnsi="宋体"/>
          <w:sz w:val="21"/>
          <w:szCs w:val="21"/>
        </w:rPr>
      </w:pPr>
      <w:r>
        <w:rPr>
          <w:rFonts w:ascii="宋体" w:hAnsi="宋体"/>
          <w:sz w:val="21"/>
          <w:szCs w:val="21"/>
        </w:rPr>
        <w:t xml:space="preserve">（2）残疾人福利单位需按照采购文件的要求提供《残疾人福利性单位声明函》。</w:t>
      </w:r>
      <w:r>
        <w:rPr>
          <w:rFonts w:ascii="宋体" w:hAnsi="宋体"/>
          <w:sz w:val="21"/>
          <w:szCs w:val="21"/>
        </w:rPr>
      </w:r>
      <w:r/>
    </w:p>
    <w:p>
      <w:pPr>
        <w:pStyle w:val="1182"/>
        <w:ind w:firstLine="42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rPr>
          <w:rFonts w:ascii="宋体" w:hAnsi="宋体"/>
          <w:sz w:val="21"/>
          <w:szCs w:val="21"/>
        </w:rPr>
      </w:r>
      <w:r/>
    </w:p>
    <w:p>
      <w:pPr>
        <w:pStyle w:val="1182"/>
        <w:ind w:left="420" w:firstLine="0"/>
        <w:rPr>
          <w:rFonts w:ascii="宋体" w:hAnsi="宋体"/>
          <w:sz w:val="21"/>
          <w:szCs w:val="21"/>
        </w:rPr>
      </w:pPr>
      <w:r>
        <w:rPr>
          <w:rFonts w:ascii="宋体" w:hAnsi="宋体"/>
          <w:sz w:val="21"/>
          <w:szCs w:val="21"/>
        </w:rPr>
        <w:t xml:space="preserve">3、监狱和戒毒企业价格扣除</w:t>
      </w:r>
      <w:r>
        <w:rPr>
          <w:rFonts w:ascii="宋体" w:hAnsi="宋体"/>
          <w:sz w:val="21"/>
          <w:szCs w:val="21"/>
        </w:rPr>
      </w:r>
      <w:r/>
    </w:p>
    <w:p>
      <w:pPr>
        <w:pStyle w:val="1182"/>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rPr>
          <w:rFonts w:ascii="宋体" w:hAnsi="宋体"/>
          <w:sz w:val="21"/>
          <w:szCs w:val="21"/>
        </w:rPr>
      </w:r>
      <w:r/>
    </w:p>
    <w:p>
      <w:pPr>
        <w:pStyle w:val="1182"/>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1"/>
          <w:szCs w:val="21"/>
        </w:rPr>
      </w:r>
      <w:r/>
    </w:p>
    <w:p>
      <w:pPr>
        <w:pStyle w:val="1182"/>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rPr>
          <w:rFonts w:ascii="宋体" w:hAnsi="宋体"/>
          <w:sz w:val="21"/>
          <w:szCs w:val="21"/>
        </w:rPr>
      </w:r>
      <w:r/>
    </w:p>
    <w:p>
      <w:pPr>
        <w:pStyle w:val="1182"/>
        <w:ind w:firstLine="420"/>
        <w:rPr>
          <w:rFonts w:ascii="宋体" w:hAnsi="宋体"/>
          <w:sz w:val="21"/>
          <w:szCs w:val="21"/>
        </w:rPr>
      </w:pPr>
      <w:r>
        <w:rPr>
          <w:rFonts w:ascii="宋体" w:hAnsi="宋体"/>
          <w:sz w:val="21"/>
          <w:szCs w:val="21"/>
        </w:rPr>
        <w:t xml:space="preserve">4、残疾人福利单位、监狱企业属于小型、微型企业的，不重复享受政策。</w:t>
      </w:r>
      <w:r>
        <w:rPr>
          <w:rFonts w:ascii="宋体" w:hAnsi="宋体"/>
          <w:sz w:val="21"/>
          <w:szCs w:val="21"/>
        </w:rPr>
      </w:r>
      <w:r/>
    </w:p>
    <w:p>
      <w:pPr>
        <w:pStyle w:val="1182"/>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rPr>
          <w:rFonts w:ascii="宋体" w:hAnsi="宋体"/>
          <w:sz w:val="21"/>
          <w:szCs w:val="21"/>
        </w:rPr>
      </w:r>
      <w:r/>
    </w:p>
    <w:p>
      <w:pPr>
        <w:pStyle w:val="1182"/>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rPr>
          <w:rFonts w:ascii="宋体" w:hAnsi="宋体"/>
          <w:sz w:val="21"/>
          <w:szCs w:val="21"/>
        </w:rPr>
      </w:r>
      <w:r/>
    </w:p>
    <w:p>
      <w:pPr>
        <w:pStyle w:val="1182"/>
        <w:ind w:firstLine="420"/>
        <w:rPr>
          <w:rFonts w:hint="eastAsia"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rPr>
          <w:rFonts w:hint="eastAsia" w:ascii="宋体" w:hAnsi="宋体"/>
          <w:sz w:val="21"/>
          <w:szCs w:val="21"/>
        </w:rPr>
      </w:r>
      <w:r/>
    </w:p>
    <w:p>
      <w:pPr>
        <w:pStyle w:val="1182"/>
        <w:ind w:firstLine="422"/>
        <w:rPr>
          <w:rFonts w:hint="eastAsia" w:ascii="宋体" w:hAnsi="宋体"/>
          <w:b/>
          <w:sz w:val="21"/>
          <w:szCs w:val="21"/>
        </w:rPr>
      </w:pPr>
      <w:r>
        <w:rPr>
          <w:rFonts w:hint="eastAsia" w:ascii="宋体" w:hAnsi="宋体"/>
          <w:b/>
          <w:sz w:val="21"/>
          <w:szCs w:val="21"/>
        </w:rPr>
        <w:t xml:space="preserve">三、评分标准</w:t>
      </w:r>
      <w:r>
        <w:rPr>
          <w:rFonts w:hint="eastAsia" w:ascii="宋体" w:hAnsi="宋体"/>
          <w:b/>
          <w:sz w:val="21"/>
          <w:szCs w:val="21"/>
        </w:rPr>
      </w:r>
      <w:r/>
    </w:p>
    <w:tbl>
      <w:tblPr>
        <w:tblW w:w="5554" w:type="pct"/>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7"/>
        <w:gridCol w:w="1206"/>
        <w:gridCol w:w="6893"/>
      </w:tblGrid>
      <w:tr>
        <w:trPr>
          <w:trHeight w:val="613"/>
        </w:trPr>
        <w:tc>
          <w:tcPr>
            <w:tcW w:w="722" w:type="dxa"/>
            <w:vAlign w:val="center"/>
            <w:textDirection w:val="lrTb"/>
            <w:noWrap w:val="false"/>
          </w:tcPr>
          <w:p>
            <w:pPr>
              <w:pStyle w:val="1030"/>
              <w:jc w:val="center"/>
              <w:spacing w:line="360" w:lineRule="auto"/>
              <w:rPr>
                <w:rFonts w:ascii="宋体" w:hAnsi="宋体" w:cs="宋体"/>
                <w:b/>
                <w:bCs/>
                <w:szCs w:val="21"/>
              </w:rPr>
            </w:pPr>
            <w:r/>
            <w:bookmarkEnd w:id="87"/>
            <w:r>
              <w:rPr>
                <w:rFonts w:hint="eastAsia" w:ascii="宋体" w:hAnsi="宋体" w:cs="宋体"/>
                <w:b/>
                <w:bCs/>
                <w:szCs w:val="21"/>
              </w:rPr>
              <w:t xml:space="preserve">项目</w:t>
            </w:r>
            <w:r>
              <w:rPr>
                <w:rFonts w:ascii="宋体" w:hAnsi="宋体" w:cs="宋体"/>
                <w:b/>
                <w:bCs/>
                <w:szCs w:val="21"/>
              </w:rPr>
            </w:r>
            <w:r/>
          </w:p>
        </w:tc>
        <w:tc>
          <w:tcPr>
            <w:gridSpan w:val="2"/>
            <w:tcW w:w="8099" w:type="dxa"/>
            <w:vAlign w:val="center"/>
            <w:textDirection w:val="lrTb"/>
            <w:noWrap w:val="false"/>
          </w:tcPr>
          <w:p>
            <w:pPr>
              <w:pStyle w:val="1030"/>
              <w:ind w:hanging="422"/>
              <w:jc w:val="center"/>
              <w:spacing w:line="360" w:lineRule="auto"/>
              <w:rPr>
                <w:rFonts w:ascii="宋体" w:hAnsi="宋体" w:cs="宋体"/>
                <w:b/>
                <w:bCs/>
                <w:szCs w:val="21"/>
              </w:rPr>
            </w:pPr>
            <w:r>
              <w:rPr>
                <w:rFonts w:hint="eastAsia" w:ascii="宋体" w:hAnsi="宋体" w:cs="宋体"/>
                <w:b/>
                <w:bCs/>
                <w:szCs w:val="21"/>
              </w:rPr>
              <w:t xml:space="preserve">评分标准</w:t>
            </w:r>
            <w:r>
              <w:rPr>
                <w:rFonts w:ascii="宋体" w:hAnsi="宋体" w:cs="宋体"/>
                <w:b/>
                <w:bCs/>
                <w:szCs w:val="21"/>
              </w:rPr>
            </w:r>
            <w:r/>
          </w:p>
        </w:tc>
      </w:tr>
      <w:tr>
        <w:trPr>
          <w:trHeight w:val="1384"/>
        </w:trPr>
        <w:tc>
          <w:tcPr>
            <w:tcW w:w="722" w:type="dxa"/>
            <w:vAlign w:val="center"/>
            <w:textDirection w:val="lrTb"/>
            <w:noWrap w:val="false"/>
          </w:tcPr>
          <w:p>
            <w:pPr>
              <w:pStyle w:val="1030"/>
              <w:jc w:val="center"/>
              <w:spacing w:line="360" w:lineRule="auto"/>
              <w:rPr>
                <w:rFonts w:ascii="宋体" w:hAnsi="宋体"/>
                <w:color w:val="000000"/>
                <w:szCs w:val="21"/>
              </w:rPr>
            </w:pPr>
            <w:r>
              <w:rPr>
                <w:rFonts w:hint="eastAsia" w:ascii="宋体" w:hAnsi="宋体"/>
                <w:color w:val="000000"/>
                <w:szCs w:val="21"/>
              </w:rPr>
              <w:t xml:space="preserve">价 格</w:t>
            </w:r>
            <w:r>
              <w:rPr>
                <w:rFonts w:ascii="宋体" w:hAnsi="宋体"/>
                <w:color w:val="000000"/>
                <w:szCs w:val="21"/>
              </w:rPr>
            </w:r>
            <w:r/>
          </w:p>
          <w:p>
            <w:pPr>
              <w:pStyle w:val="1030"/>
              <w:jc w:val="center"/>
              <w:spacing w:line="360" w:lineRule="auto"/>
              <w:rPr>
                <w:rFonts w:ascii="宋体" w:hAnsi="宋体"/>
                <w:color w:val="000000"/>
                <w:szCs w:val="21"/>
              </w:rPr>
            </w:pPr>
            <w:r>
              <w:rPr>
                <w:rFonts w:hint="eastAsia" w:ascii="宋体" w:hAnsi="宋体"/>
                <w:color w:val="000000"/>
                <w:szCs w:val="21"/>
              </w:rPr>
              <w:t xml:space="preserve">（10分）</w:t>
            </w:r>
            <w:r>
              <w:rPr>
                <w:rFonts w:ascii="宋体" w:hAnsi="宋体"/>
                <w:color w:val="000000"/>
                <w:szCs w:val="21"/>
              </w:rPr>
            </w:r>
            <w:r/>
          </w:p>
        </w:tc>
        <w:tc>
          <w:tcPr>
            <w:gridSpan w:val="2"/>
            <w:tcW w:w="8099" w:type="dxa"/>
            <w:vAlign w:val="center"/>
            <w:textDirection w:val="lrTb"/>
            <w:noWrap w:val="false"/>
          </w:tcPr>
          <w:p>
            <w:pPr>
              <w:pStyle w:val="1030"/>
              <w:spacing w:line="360" w:lineRule="auto"/>
              <w:rPr>
                <w:rFonts w:ascii="宋体" w:hAnsi="宋体"/>
                <w:color w:val="000000"/>
                <w:szCs w:val="21"/>
              </w:rPr>
            </w:pPr>
            <w:r>
              <w:rPr>
                <w:rFonts w:hint="eastAsia" w:ascii="宋体" w:hAnsi="宋体"/>
                <w:color w:val="000000"/>
                <w:szCs w:val="21"/>
              </w:rPr>
              <w:t xml:space="preserve">以满足采购文件要求的最低报价为评标基准价，得满分10分，其他报价得分＝（评标基准价/其他报价）×10×100％，保留小数点后两位。</w:t>
            </w:r>
            <w:r>
              <w:rPr>
                <w:rFonts w:ascii="宋体" w:hAnsi="宋体"/>
                <w:color w:val="000000"/>
                <w:szCs w:val="21"/>
              </w:rPr>
            </w:r>
            <w:r/>
          </w:p>
          <w:p>
            <w:pPr>
              <w:pStyle w:val="1030"/>
              <w:spacing w:line="360" w:lineRule="auto"/>
              <w:rPr>
                <w:rFonts w:ascii="宋体" w:hAnsi="宋体"/>
                <w:color w:val="000000"/>
                <w:szCs w:val="21"/>
              </w:rPr>
            </w:pPr>
            <w:r>
              <w:rPr>
                <w:rFonts w:hint="eastAsia" w:ascii="宋体" w:hAnsi="宋体"/>
                <w:color w:val="000000"/>
                <w:szCs w:val="21"/>
              </w:rPr>
              <w:t xml:space="preserve">注：评标委员会认为供应商的报价明显过低，有可能影响服务质量或者不能诚信履约的，且供应商不能在评标现场合理的时间内证明其报价合理性的，评标委员会有权将其作为无效响应处理。</w:t>
            </w:r>
            <w:r>
              <w:rPr>
                <w:rFonts w:ascii="宋体" w:hAnsi="宋体"/>
                <w:color w:val="000000"/>
                <w:szCs w:val="21"/>
              </w:rPr>
            </w:r>
            <w:r/>
          </w:p>
        </w:tc>
      </w:tr>
      <w:tr>
        <w:trPr>
          <w:trHeight w:val="90"/>
        </w:trPr>
        <w:tc>
          <w:tcPr>
            <w:tcW w:w="722" w:type="dxa"/>
            <w:vAlign w:val="center"/>
            <w:vMerge w:val="restart"/>
            <w:textDirection w:val="lrTb"/>
            <w:noWrap w:val="false"/>
          </w:tcPr>
          <w:p>
            <w:pPr>
              <w:pStyle w:val="1030"/>
              <w:jc w:val="center"/>
              <w:spacing w:line="360" w:lineRule="auto"/>
              <w:rPr>
                <w:rFonts w:ascii="宋体" w:hAnsi="宋体"/>
                <w:color w:val="000000"/>
                <w:szCs w:val="21"/>
              </w:rPr>
            </w:pPr>
            <w:r>
              <w:rPr>
                <w:rFonts w:hint="eastAsia" w:ascii="宋体" w:hAnsi="宋体"/>
                <w:color w:val="000000"/>
                <w:szCs w:val="21"/>
              </w:rPr>
              <w:t xml:space="preserve">技术方案</w:t>
            </w:r>
            <w:r>
              <w:rPr>
                <w:rFonts w:ascii="宋体" w:hAnsi="宋体"/>
                <w:color w:val="000000"/>
                <w:szCs w:val="21"/>
              </w:rPr>
            </w:r>
            <w:r/>
          </w:p>
          <w:p>
            <w:pPr>
              <w:pStyle w:val="1030"/>
              <w:jc w:val="center"/>
              <w:spacing w:line="360" w:lineRule="auto"/>
              <w:rPr>
                <w:rFonts w:ascii="宋体" w:hAnsi="宋体"/>
                <w:color w:val="000000"/>
                <w:szCs w:val="21"/>
              </w:rPr>
            </w:pPr>
            <w:r>
              <w:rPr>
                <w:rFonts w:hint="eastAsia" w:ascii="宋体" w:hAnsi="宋体"/>
                <w:color w:val="000000"/>
                <w:szCs w:val="21"/>
              </w:rPr>
              <w:t xml:space="preserve">（50分）</w:t>
            </w:r>
            <w:r>
              <w:rPr>
                <w:rFonts w:ascii="宋体" w:hAnsi="宋体"/>
                <w:color w:val="000000"/>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项目现状分析方案</w:t>
            </w:r>
            <w:r>
              <w:rPr>
                <w:rFonts w:hint="eastAsia" w:ascii="宋体" w:hAnsi="宋体"/>
                <w:color w:val="000000"/>
                <w:szCs w:val="21"/>
              </w:rPr>
            </w:r>
            <w:r/>
          </w:p>
          <w:p>
            <w:pPr>
              <w:pStyle w:val="1030"/>
              <w:jc w:val="center"/>
              <w:spacing w:line="360" w:lineRule="auto"/>
              <w:rPr>
                <w:rFonts w:ascii="宋体" w:hAnsi="宋体" w:cs="宋体"/>
                <w:color w:val="000000"/>
                <w:szCs w:val="21"/>
              </w:rPr>
            </w:pPr>
            <w:r>
              <w:rPr>
                <w:rFonts w:hint="eastAsia" w:ascii="宋体" w:hAnsi="宋体"/>
                <w:color w:val="000000"/>
                <w:szCs w:val="21"/>
              </w:rPr>
              <w:t xml:space="preserve">（6分）</w:t>
            </w:r>
            <w:r>
              <w:rPr>
                <w:rFonts w:ascii="宋体" w:hAnsi="宋体" w:cs="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对投标人根据招标需求和项目实际情况提供的现状诊断分析及测算方案进行比较：</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对项目现状的分析和判断精准合理，节能效益测算方法及过程科学准确，可行性强的得6分；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对项目现状的分析和判断较精准合理，节能效益测算方法及过程较科学准确，可行性较强的得4分；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对项目现状的分析和判断一般，节能效益测算方法及过程一般，可行性较差的得2分；</w:t>
            </w:r>
            <w:r>
              <w:rPr>
                <w:rFonts w:hint="eastAsia" w:ascii="宋体" w:hAnsi="宋体"/>
                <w:color w:val="000000"/>
                <w:szCs w:val="21"/>
              </w:rPr>
            </w:r>
            <w:r/>
          </w:p>
          <w:p>
            <w:pPr>
              <w:pStyle w:val="1030"/>
              <w:spacing w:line="360" w:lineRule="auto"/>
              <w:rPr>
                <w:rFonts w:ascii="宋体" w:hAnsi="宋体" w:cs="宋体"/>
                <w:color w:val="000000"/>
                <w:szCs w:val="21"/>
              </w:rPr>
            </w:pPr>
            <w:r>
              <w:rPr>
                <w:rFonts w:hint="eastAsia" w:ascii="宋体" w:hAnsi="宋体"/>
                <w:color w:val="000000"/>
                <w:szCs w:val="21"/>
              </w:rPr>
              <w:t xml:space="preserve">其他情况不得分。</w:t>
            </w:r>
            <w:r>
              <w:rPr>
                <w:rFonts w:ascii="宋体" w:hAnsi="宋体" w:cs="宋体"/>
                <w:color w:val="000000"/>
                <w:szCs w:val="21"/>
              </w:rPr>
            </w:r>
            <w:r/>
          </w:p>
        </w:tc>
      </w:tr>
      <w:tr>
        <w:trPr>
          <w:trHeight w:val="2456"/>
        </w:trPr>
        <w:tc>
          <w:tcPr>
            <w:tcW w:w="722" w:type="dxa"/>
            <w:vAlign w:val="center"/>
            <w:vMerge w:val="continue"/>
            <w:textDirection w:val="lrTb"/>
            <w:noWrap w:val="false"/>
          </w:tcPr>
          <w:p>
            <w:pPr>
              <w:pStyle w:val="103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节能改造方案</w:t>
            </w:r>
            <w:r>
              <w:rPr>
                <w:rFonts w:hint="eastAsia" w:ascii="宋体" w:hAnsi="宋体"/>
                <w:color w:val="000000"/>
                <w:szCs w:val="21"/>
              </w:rPr>
            </w:r>
            <w:r/>
          </w:p>
          <w:p>
            <w:pPr>
              <w:pStyle w:val="1030"/>
              <w:jc w:val="center"/>
              <w:spacing w:line="360" w:lineRule="auto"/>
              <w:rPr>
                <w:rFonts w:ascii="宋体" w:hAnsi="宋体" w:cs="宋体"/>
                <w:color w:val="000000"/>
                <w:szCs w:val="21"/>
              </w:rPr>
            </w:pPr>
            <w:r>
              <w:rPr>
                <w:rFonts w:hint="eastAsia" w:ascii="宋体" w:hAnsi="宋体"/>
                <w:color w:val="000000"/>
                <w:szCs w:val="21"/>
              </w:rPr>
              <w:t xml:space="preserve">（6分）</w:t>
            </w:r>
            <w:r>
              <w:rPr>
                <w:rFonts w:ascii="宋体" w:hAnsi="宋体" w:cs="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对投标人根据招标需求和项目实际情况提供的节能改造方案进行比较，包括但不限于：节能改造措施、主要工序施工工艺、主要设施设备性能等方面：</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改造方案内容详细，提出具体、有效、成熟的解决措施，优于采购需求的，得6分；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改造方案内容较详细，提出的措施等能够符合项目需求的，得4分；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内容仅简单提及的，得2分；</w:t>
            </w:r>
            <w:r>
              <w:rPr>
                <w:rFonts w:hint="eastAsia" w:ascii="宋体" w:hAnsi="宋体"/>
                <w:color w:val="000000"/>
                <w:szCs w:val="21"/>
              </w:rPr>
            </w:r>
            <w:r/>
          </w:p>
          <w:p>
            <w:pPr>
              <w:pStyle w:val="1030"/>
              <w:spacing w:line="360" w:lineRule="auto"/>
              <w:rPr>
                <w:rFonts w:ascii="宋体" w:hAnsi="宋体" w:cs="宋体"/>
                <w:color w:val="000000"/>
                <w:szCs w:val="21"/>
              </w:rPr>
            </w:pPr>
            <w:r>
              <w:rPr>
                <w:rFonts w:hint="eastAsia" w:ascii="宋体" w:hAnsi="宋体"/>
                <w:color w:val="000000"/>
                <w:szCs w:val="21"/>
              </w:rPr>
              <w:t xml:space="preserve">其他情况不得分。</w:t>
            </w:r>
            <w:r>
              <w:rPr>
                <w:rFonts w:ascii="宋体" w:hAnsi="宋体" w:cs="宋体"/>
                <w:color w:val="000000"/>
                <w:szCs w:val="21"/>
              </w:rPr>
            </w:r>
            <w:r/>
          </w:p>
        </w:tc>
      </w:tr>
      <w:tr>
        <w:trPr>
          <w:trHeight w:val="646"/>
        </w:trPr>
        <w:tc>
          <w:tcPr>
            <w:tcW w:w="722" w:type="dxa"/>
            <w:vAlign w:val="center"/>
            <w:vMerge w:val="continue"/>
            <w:textDirection w:val="lrTb"/>
            <w:noWrap w:val="false"/>
          </w:tcPr>
          <w:p>
            <w:pPr>
              <w:pStyle w:val="103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综合能源管理平台建设方案</w:t>
            </w:r>
            <w:r>
              <w:rPr>
                <w:rFonts w:hint="eastAsia" w:ascii="宋体" w:hAnsi="宋体"/>
                <w:color w:val="000000"/>
                <w:szCs w:val="21"/>
              </w:rPr>
            </w:r>
            <w:r/>
          </w:p>
          <w:p>
            <w:pPr>
              <w:pStyle w:val="1030"/>
              <w:jc w:val="center"/>
              <w:spacing w:line="360" w:lineRule="auto"/>
              <w:rPr>
                <w:rFonts w:ascii="宋体" w:hAnsi="宋体" w:cs="宋体"/>
                <w:color w:val="000000"/>
                <w:szCs w:val="21"/>
              </w:rPr>
            </w:pPr>
            <w:r>
              <w:rPr>
                <w:rFonts w:hint="eastAsia" w:ascii="宋体" w:hAnsi="宋体"/>
                <w:color w:val="000000"/>
                <w:szCs w:val="21"/>
              </w:rPr>
              <w:t xml:space="preserve">（10分）</w:t>
            </w:r>
            <w:r>
              <w:rPr>
                <w:rFonts w:ascii="宋体" w:hAnsi="宋体" w:cs="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对投标人根据招标需求和项目实际情况提供的综合能源监管平台建设方案进行比较，提供详细的软件功能描述，包括：系统架构、系统部署、软件功能项实现等。</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功能实用，描述清晰，图文并茂，功能截图能够佐证满足技术要求，完全符合本项目需求的，得10分；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功能较实用，描述较清晰，有部分功能截图，能够符合本项目需求的，得7分；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功能一般，描述一般，无功能截图，能够基本符合本项目需求的，得4分；</w:t>
            </w:r>
            <w:r>
              <w:rPr>
                <w:rFonts w:hint="eastAsia" w:ascii="宋体" w:hAnsi="宋体"/>
                <w:color w:val="000000"/>
                <w:szCs w:val="21"/>
              </w:rPr>
            </w:r>
            <w:r/>
          </w:p>
          <w:p>
            <w:pPr>
              <w:pStyle w:val="1030"/>
              <w:spacing w:line="360" w:lineRule="auto"/>
              <w:rPr>
                <w:rFonts w:ascii="宋体" w:hAnsi="宋体" w:cs="宋体"/>
                <w:color w:val="000000"/>
                <w:szCs w:val="21"/>
              </w:rPr>
            </w:pPr>
            <w:r>
              <w:rPr>
                <w:rFonts w:hint="eastAsia" w:ascii="宋体" w:hAnsi="宋体"/>
                <w:color w:val="000000"/>
                <w:szCs w:val="21"/>
              </w:rPr>
              <w:t xml:space="preserve">其他情况不得分。</w:t>
            </w:r>
            <w:r>
              <w:rPr>
                <w:rFonts w:ascii="宋体" w:hAnsi="宋体" w:cs="宋体"/>
                <w:color w:val="000000"/>
                <w:szCs w:val="21"/>
              </w:rPr>
            </w:r>
            <w:r/>
          </w:p>
        </w:tc>
      </w:tr>
      <w:tr>
        <w:trPr>
          <w:trHeight w:val="646"/>
        </w:trPr>
        <w:tc>
          <w:tcPr>
            <w:tcW w:w="722" w:type="dxa"/>
            <w:vAlign w:val="center"/>
            <w:vMerge w:val="continue"/>
            <w:textDirection w:val="lrTb"/>
            <w:noWrap w:val="false"/>
          </w:tcPr>
          <w:p>
            <w:pPr>
              <w:pStyle w:val="103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精细化运营服务方案</w:t>
            </w:r>
            <w:r>
              <w:rPr>
                <w:rFonts w:hint="eastAsia" w:ascii="宋体" w:hAnsi="宋体"/>
                <w:color w:val="000000"/>
                <w:szCs w:val="21"/>
              </w:rPr>
            </w:r>
            <w:r/>
          </w:p>
          <w:p>
            <w:pPr>
              <w:pStyle w:val="1030"/>
              <w:jc w:val="center"/>
              <w:spacing w:line="360" w:lineRule="auto"/>
              <w:rPr>
                <w:rFonts w:ascii="宋体" w:hAnsi="宋体" w:cs="宋体"/>
                <w:color w:val="000000"/>
                <w:szCs w:val="21"/>
              </w:rPr>
            </w:pPr>
            <w:r>
              <w:rPr>
                <w:rFonts w:hint="eastAsia" w:ascii="宋体" w:hAnsi="宋体"/>
                <w:color w:val="000000"/>
                <w:szCs w:val="21"/>
              </w:rPr>
              <w:t xml:space="preserve">（8分）</w:t>
            </w:r>
            <w:r>
              <w:rPr>
                <w:rFonts w:ascii="宋体" w:hAnsi="宋体" w:cs="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对投标人根据招标需求和项目实际情况提供的精细化运营服务方案进行比较，包括但不限于能源托管精细化运营管理、信息化系统及机电设施设备运维、技术培训等等内容：</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内容描述详细到位、完整清晰、可操作性强的得8分；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内容描述较详细、完整较清晰、可操作性较强的得5分；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内容简单提及的得2分；</w:t>
            </w:r>
            <w:r>
              <w:rPr>
                <w:rFonts w:hint="eastAsia" w:ascii="宋体" w:hAnsi="宋体"/>
                <w:color w:val="000000"/>
                <w:szCs w:val="21"/>
              </w:rPr>
            </w:r>
            <w:r/>
          </w:p>
          <w:p>
            <w:pPr>
              <w:pStyle w:val="1030"/>
              <w:spacing w:line="360" w:lineRule="auto"/>
              <w:rPr>
                <w:rFonts w:ascii="宋体" w:hAnsi="宋体" w:cs="宋体"/>
                <w:color w:val="000000"/>
                <w:szCs w:val="21"/>
              </w:rPr>
            </w:pPr>
            <w:r>
              <w:rPr>
                <w:rFonts w:hint="eastAsia" w:ascii="宋体" w:hAnsi="宋体"/>
                <w:color w:val="000000"/>
                <w:szCs w:val="21"/>
              </w:rPr>
              <w:t xml:space="preserve">其他情况不得分。</w:t>
            </w:r>
            <w:r>
              <w:rPr>
                <w:rFonts w:ascii="宋体" w:hAnsi="宋体" w:cs="宋体"/>
                <w:color w:val="000000"/>
                <w:szCs w:val="21"/>
              </w:rPr>
            </w:r>
            <w:r/>
          </w:p>
        </w:tc>
      </w:tr>
      <w:tr>
        <w:trPr>
          <w:trHeight w:val="646"/>
        </w:trPr>
        <w:tc>
          <w:tcPr>
            <w:tcW w:w="722" w:type="dxa"/>
            <w:vAlign w:val="center"/>
            <w:vMerge w:val="continue"/>
            <w:textDirection w:val="lrTb"/>
            <w:noWrap w:val="false"/>
          </w:tcPr>
          <w:p>
            <w:pPr>
              <w:pStyle w:val="103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30"/>
              <w:jc w:val="center"/>
              <w:spacing w:line="360" w:lineRule="auto"/>
              <w:rPr>
                <w:rFonts w:ascii="宋体" w:hAnsi="宋体"/>
                <w:color w:val="000000"/>
                <w:szCs w:val="21"/>
              </w:rPr>
            </w:pPr>
            <w:r>
              <w:rPr>
                <w:rFonts w:hint="eastAsia" w:ascii="宋体" w:hAnsi="宋体"/>
                <w:color w:val="000000"/>
                <w:szCs w:val="21"/>
              </w:rPr>
              <w:t xml:space="preserve">按季出具“能源网运行报告”模板</w:t>
            </w:r>
            <w:r>
              <w:rPr>
                <w:rFonts w:ascii="宋体" w:hAnsi="宋体"/>
                <w:color w:val="000000"/>
                <w:szCs w:val="21"/>
              </w:rPr>
            </w:r>
            <w:r/>
          </w:p>
          <w:p>
            <w:pPr>
              <w:pStyle w:val="1030"/>
              <w:jc w:val="center"/>
              <w:spacing w:line="360" w:lineRule="auto"/>
              <w:rPr>
                <w:rFonts w:ascii="宋体" w:hAnsi="宋体"/>
                <w:color w:val="000000"/>
                <w:szCs w:val="21"/>
              </w:rPr>
            </w:pPr>
            <w:r>
              <w:rPr>
                <w:rFonts w:hint="eastAsia" w:ascii="宋体" w:hAnsi="宋体"/>
                <w:color w:val="000000"/>
                <w:szCs w:val="21"/>
              </w:rPr>
              <w:t xml:space="preserve">（6分）</w:t>
            </w:r>
            <w:r>
              <w:rPr>
                <w:rFonts w:ascii="宋体" w:hAnsi="宋体"/>
                <w:color w:val="000000"/>
                <w:szCs w:val="21"/>
              </w:rPr>
            </w:r>
            <w:r/>
          </w:p>
        </w:tc>
        <w:tc>
          <w:tcPr>
            <w:tcW w:w="3641" w:type="dxa"/>
            <w:vAlign w:val="top"/>
            <w:textDirection w:val="lrTb"/>
            <w:noWrap w:val="false"/>
          </w:tcPr>
          <w:p>
            <w:pPr>
              <w:pStyle w:val="1030"/>
              <w:spacing w:line="360" w:lineRule="auto"/>
              <w:widowControl/>
              <w:rPr>
                <w:rFonts w:hint="eastAsia" w:ascii="宋体" w:hAnsi="宋体"/>
                <w:color w:val="000000"/>
                <w:szCs w:val="21"/>
              </w:rPr>
            </w:pPr>
            <w:r>
              <w:rPr>
                <w:rFonts w:hint="eastAsia" w:ascii="宋体" w:hAnsi="宋体"/>
                <w:color w:val="000000"/>
                <w:szCs w:val="21"/>
              </w:rPr>
              <w:t xml:space="preserve">对投标人提供的按季出具“用能分析报告”的模板进行比较：</w:t>
            </w:r>
            <w:r>
              <w:rPr>
                <w:rFonts w:hint="eastAsia" w:ascii="宋体" w:hAnsi="宋体"/>
                <w:color w:val="000000"/>
                <w:szCs w:val="21"/>
              </w:rPr>
            </w:r>
            <w:r/>
          </w:p>
          <w:p>
            <w:pPr>
              <w:pStyle w:val="1030"/>
              <w:spacing w:line="360" w:lineRule="auto"/>
              <w:widowControl/>
              <w:rPr>
                <w:rFonts w:hint="eastAsia" w:ascii="宋体" w:hAnsi="宋体"/>
                <w:color w:val="000000"/>
                <w:szCs w:val="21"/>
              </w:rPr>
            </w:pPr>
            <w:r>
              <w:rPr>
                <w:rFonts w:hint="eastAsia" w:ascii="宋体" w:hAnsi="宋体"/>
                <w:color w:val="000000"/>
                <w:szCs w:val="21"/>
              </w:rPr>
              <w:t xml:space="preserve">模板内容详细到位、完整清晰的，实用性强的得6分；</w:t>
            </w:r>
            <w:r>
              <w:rPr>
                <w:rFonts w:hint="eastAsia" w:ascii="宋体" w:hAnsi="宋体"/>
                <w:color w:val="000000"/>
                <w:szCs w:val="21"/>
              </w:rPr>
            </w:r>
            <w:r/>
          </w:p>
          <w:p>
            <w:pPr>
              <w:pStyle w:val="1030"/>
              <w:spacing w:line="360" w:lineRule="auto"/>
              <w:widowControl/>
              <w:rPr>
                <w:rFonts w:hint="eastAsia" w:ascii="宋体" w:hAnsi="宋体"/>
                <w:color w:val="000000"/>
                <w:szCs w:val="21"/>
              </w:rPr>
            </w:pPr>
            <w:r>
              <w:rPr>
                <w:rFonts w:hint="eastAsia" w:ascii="宋体" w:hAnsi="宋体"/>
                <w:color w:val="000000"/>
                <w:szCs w:val="21"/>
              </w:rPr>
              <w:t xml:space="preserve">模板内容较详细、完整较清晰，报告模板实用性较强的得4分；</w:t>
            </w:r>
            <w:r>
              <w:rPr>
                <w:rFonts w:hint="eastAsia" w:ascii="宋体" w:hAnsi="宋体"/>
                <w:color w:val="000000"/>
                <w:szCs w:val="21"/>
              </w:rPr>
            </w:r>
            <w:r/>
          </w:p>
          <w:p>
            <w:pPr>
              <w:pStyle w:val="1030"/>
              <w:spacing w:line="360" w:lineRule="auto"/>
              <w:widowControl/>
              <w:rPr>
                <w:rFonts w:hint="eastAsia" w:ascii="宋体" w:hAnsi="宋体"/>
                <w:color w:val="000000"/>
                <w:szCs w:val="21"/>
              </w:rPr>
            </w:pPr>
            <w:r>
              <w:rPr>
                <w:rFonts w:hint="eastAsia" w:ascii="宋体" w:hAnsi="宋体"/>
                <w:color w:val="000000"/>
                <w:szCs w:val="21"/>
              </w:rPr>
              <w:t xml:space="preserve">模板内容简单提及、报告模板实用性较差的得2分；</w:t>
            </w:r>
            <w:r>
              <w:rPr>
                <w:rFonts w:hint="eastAsia" w:ascii="宋体" w:hAnsi="宋体"/>
                <w:color w:val="000000"/>
                <w:szCs w:val="21"/>
              </w:rPr>
            </w:r>
            <w:r/>
          </w:p>
          <w:p>
            <w:pPr>
              <w:pStyle w:val="1030"/>
              <w:spacing w:line="360" w:lineRule="auto"/>
              <w:widowControl/>
              <w:rPr>
                <w:rFonts w:ascii="宋体" w:hAnsi="宋体"/>
                <w:color w:val="000000"/>
                <w:szCs w:val="21"/>
              </w:rPr>
            </w:pPr>
            <w:r>
              <w:rPr>
                <w:rFonts w:hint="eastAsia" w:ascii="宋体" w:hAnsi="宋体"/>
                <w:color w:val="000000"/>
                <w:szCs w:val="21"/>
              </w:rPr>
              <w:t xml:space="preserve">其他情况不得分。</w:t>
            </w:r>
            <w:r>
              <w:rPr>
                <w:rFonts w:ascii="宋体" w:hAnsi="宋体"/>
                <w:color w:val="000000"/>
                <w:szCs w:val="21"/>
              </w:rPr>
            </w:r>
            <w:r/>
          </w:p>
        </w:tc>
      </w:tr>
      <w:tr>
        <w:trPr>
          <w:trHeight w:val="646"/>
        </w:trPr>
        <w:tc>
          <w:tcPr>
            <w:tcW w:w="722" w:type="dxa"/>
            <w:vAlign w:val="center"/>
            <w:vMerge w:val="continue"/>
            <w:textDirection w:val="lrTb"/>
            <w:noWrap w:val="false"/>
          </w:tcPr>
          <w:p>
            <w:pPr>
              <w:pStyle w:val="103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管理方案</w:t>
            </w:r>
            <w:r>
              <w:rPr>
                <w:rFonts w:hint="eastAsia" w:ascii="宋体" w:hAnsi="宋体"/>
                <w:color w:val="000000"/>
                <w:szCs w:val="21"/>
              </w:rPr>
            </w:r>
            <w:r/>
          </w:p>
          <w:p>
            <w:pPr>
              <w:pStyle w:val="1030"/>
              <w:jc w:val="center"/>
              <w:spacing w:line="360" w:lineRule="auto"/>
              <w:rPr>
                <w:rFonts w:ascii="宋体" w:hAnsi="宋体" w:cs="宋体"/>
                <w:color w:val="000000"/>
                <w:szCs w:val="21"/>
              </w:rPr>
            </w:pPr>
            <w:r>
              <w:rPr>
                <w:rFonts w:hint="eastAsia" w:ascii="宋体" w:hAnsi="宋体"/>
                <w:color w:val="000000"/>
                <w:szCs w:val="21"/>
              </w:rPr>
              <w:t xml:space="preserve">（4分）</w:t>
            </w:r>
            <w:r>
              <w:rPr>
                <w:rFonts w:ascii="宋体" w:hAnsi="宋体" w:cs="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对投标人根据招标需求和项目实际情况提供的管理方案进行比较，包括但不限于进度管理、质量管理、人员组织管理等内容：</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内容描述详细到位、完整清晰、可操作性强的得4分；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内容描述较详细、完整较清晰、可操作性较强的得2分；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内容简单提及的得1分；</w:t>
            </w:r>
            <w:r>
              <w:rPr>
                <w:rFonts w:hint="eastAsia" w:ascii="宋体" w:hAnsi="宋体"/>
                <w:color w:val="000000"/>
                <w:szCs w:val="21"/>
              </w:rPr>
            </w:r>
            <w:r/>
          </w:p>
          <w:p>
            <w:pPr>
              <w:pStyle w:val="1030"/>
              <w:spacing w:line="360" w:lineRule="auto"/>
              <w:rPr>
                <w:rFonts w:ascii="宋体" w:hAnsi="宋体" w:cs="宋体"/>
                <w:color w:val="000000"/>
                <w:szCs w:val="21"/>
              </w:rPr>
            </w:pPr>
            <w:r>
              <w:rPr>
                <w:rFonts w:hint="eastAsia" w:ascii="宋体" w:hAnsi="宋体"/>
                <w:color w:val="000000"/>
                <w:szCs w:val="21"/>
              </w:rPr>
              <w:t xml:space="preserve">其他情况不得分。</w:t>
            </w:r>
            <w:r>
              <w:rPr>
                <w:rFonts w:ascii="宋体" w:hAnsi="宋体" w:cs="宋体"/>
                <w:color w:val="000000"/>
                <w:szCs w:val="21"/>
              </w:rPr>
            </w:r>
            <w:r/>
          </w:p>
        </w:tc>
      </w:tr>
      <w:tr>
        <w:trPr>
          <w:trHeight w:val="830"/>
        </w:trPr>
        <w:tc>
          <w:tcPr>
            <w:tcW w:w="722" w:type="dxa"/>
            <w:vAlign w:val="center"/>
            <w:vMerge w:val="continue"/>
            <w:textDirection w:val="lrTb"/>
            <w:noWrap w:val="false"/>
          </w:tcPr>
          <w:p>
            <w:pPr>
              <w:pStyle w:val="103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安全文明措施</w:t>
            </w:r>
            <w:r>
              <w:rPr>
                <w:rFonts w:hint="eastAsia" w:ascii="宋体" w:hAnsi="宋体"/>
                <w:color w:val="000000"/>
                <w:szCs w:val="21"/>
              </w:rPr>
            </w:r>
            <w:r/>
          </w:p>
          <w:p>
            <w:pPr>
              <w:pStyle w:val="1030"/>
              <w:jc w:val="center"/>
              <w:spacing w:line="360" w:lineRule="auto"/>
              <w:rPr>
                <w:rFonts w:ascii="宋体" w:hAnsi="宋体" w:cs="宋体"/>
                <w:color w:val="000000"/>
                <w:szCs w:val="21"/>
              </w:rPr>
            </w:pPr>
            <w:r>
              <w:rPr>
                <w:rFonts w:hint="eastAsia" w:ascii="宋体" w:hAnsi="宋体"/>
                <w:color w:val="000000"/>
                <w:szCs w:val="21"/>
              </w:rPr>
              <w:t xml:space="preserve">（4分）</w:t>
            </w:r>
            <w:r>
              <w:rPr>
                <w:rFonts w:ascii="宋体" w:hAnsi="宋体" w:cs="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对投标人根据招标需求和项目实际情况提供的安全文明措施进行比较，包括但不限于安全文明体系、应急预案等内容：</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内容描述详细到位、完整清晰、可操作性强的得4分；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内容描述较详细、完整较清晰、可操作性较强的得2分；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内容简单提及的得1分；</w:t>
            </w:r>
            <w:r>
              <w:rPr>
                <w:rFonts w:hint="eastAsia" w:ascii="宋体" w:hAnsi="宋体"/>
                <w:color w:val="000000"/>
                <w:szCs w:val="21"/>
              </w:rPr>
            </w:r>
            <w:r/>
          </w:p>
          <w:p>
            <w:pPr>
              <w:pStyle w:val="1030"/>
              <w:spacing w:line="360" w:lineRule="auto"/>
              <w:rPr>
                <w:rFonts w:ascii="宋体" w:hAnsi="宋体" w:cs="宋体"/>
                <w:color w:val="000000"/>
                <w:szCs w:val="21"/>
              </w:rPr>
            </w:pPr>
            <w:r>
              <w:rPr>
                <w:rFonts w:hint="eastAsia" w:ascii="宋体" w:hAnsi="宋体"/>
                <w:color w:val="000000"/>
                <w:szCs w:val="21"/>
              </w:rPr>
              <w:t xml:space="preserve">其他情况不得分。</w:t>
            </w:r>
            <w:r>
              <w:rPr>
                <w:rFonts w:ascii="宋体" w:hAnsi="宋体" w:cs="宋体"/>
                <w:color w:val="000000"/>
                <w:szCs w:val="21"/>
              </w:rPr>
            </w:r>
            <w:r/>
          </w:p>
        </w:tc>
      </w:tr>
      <w:tr>
        <w:trPr>
          <w:trHeight w:val="423"/>
        </w:trPr>
        <w:tc>
          <w:tcPr>
            <w:tcW w:w="722" w:type="dxa"/>
            <w:vAlign w:val="center"/>
            <w:vMerge w:val="continue"/>
            <w:textDirection w:val="lrTb"/>
            <w:noWrap w:val="false"/>
          </w:tcPr>
          <w:p>
            <w:pPr>
              <w:pStyle w:val="103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数据保密及信息安全方案</w:t>
            </w:r>
            <w:r>
              <w:rPr>
                <w:rFonts w:hint="eastAsia" w:ascii="宋体" w:hAnsi="宋体"/>
                <w:color w:val="000000"/>
                <w:szCs w:val="21"/>
              </w:rPr>
            </w:r>
            <w:r/>
          </w:p>
          <w:p>
            <w:pPr>
              <w:pStyle w:val="1030"/>
              <w:jc w:val="center"/>
              <w:spacing w:line="360" w:lineRule="auto"/>
              <w:rPr>
                <w:rFonts w:ascii="宋体" w:hAnsi="宋体" w:cs="宋体"/>
                <w:color w:val="000000"/>
                <w:szCs w:val="21"/>
              </w:rPr>
            </w:pPr>
            <w:r>
              <w:rPr>
                <w:rFonts w:hint="eastAsia" w:ascii="宋体" w:hAnsi="宋体"/>
                <w:color w:val="000000"/>
                <w:szCs w:val="21"/>
              </w:rPr>
              <w:t xml:space="preserve">（6分）</w:t>
            </w:r>
            <w:r>
              <w:rPr>
                <w:rFonts w:ascii="宋体" w:hAnsi="宋体" w:cs="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对投标人根据招标需求和项目实际情况提供的数据保密方案进行比较：</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内容描述详细到位、完整清晰、可操作性强的得6分；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内容描述较详细、完整较清晰、可操作性较强的得4分；</w:t>
            </w:r>
            <w:r>
              <w:rPr>
                <w:rFonts w:hint="eastAsia" w:ascii="宋体" w:hAnsi="宋体"/>
                <w:color w:val="000000"/>
                <w:szCs w:val="21"/>
              </w:rPr>
            </w:r>
            <w:r/>
          </w:p>
          <w:p>
            <w:pPr>
              <w:pStyle w:val="1030"/>
              <w:spacing w:line="360" w:lineRule="auto"/>
              <w:rPr>
                <w:rFonts w:hint="eastAsia" w:ascii="宋体" w:hAnsi="宋体"/>
                <w:color w:val="000000"/>
                <w:szCs w:val="21"/>
              </w:rPr>
            </w:pPr>
            <w:r>
              <w:rPr>
                <w:rFonts w:hint="eastAsia" w:ascii="宋体" w:hAnsi="宋体"/>
                <w:color w:val="000000"/>
                <w:szCs w:val="21"/>
              </w:rPr>
              <w:t xml:space="preserve">内容简单提及的得2分；</w:t>
            </w:r>
            <w:r>
              <w:rPr>
                <w:rFonts w:hint="eastAsia" w:ascii="宋体" w:hAnsi="宋体"/>
                <w:color w:val="000000"/>
                <w:szCs w:val="21"/>
              </w:rPr>
            </w:r>
            <w:r/>
          </w:p>
          <w:p>
            <w:pPr>
              <w:pStyle w:val="1030"/>
              <w:spacing w:line="360" w:lineRule="auto"/>
              <w:rPr>
                <w:rFonts w:ascii="宋体" w:hAnsi="宋体" w:cs="宋体"/>
                <w:color w:val="000000"/>
                <w:szCs w:val="21"/>
              </w:rPr>
            </w:pPr>
            <w:r>
              <w:rPr>
                <w:rFonts w:hint="eastAsia" w:ascii="宋体" w:hAnsi="宋体"/>
                <w:color w:val="000000"/>
                <w:szCs w:val="21"/>
              </w:rPr>
              <w:t xml:space="preserve">其他情况不得分。</w:t>
            </w:r>
            <w:r>
              <w:rPr>
                <w:rFonts w:ascii="宋体" w:hAnsi="宋体" w:cs="宋体"/>
                <w:color w:val="000000"/>
                <w:szCs w:val="21"/>
              </w:rPr>
            </w:r>
            <w:r/>
          </w:p>
        </w:tc>
      </w:tr>
      <w:tr>
        <w:trPr>
          <w:trHeight w:val="423"/>
        </w:trPr>
        <w:tc>
          <w:tcPr>
            <w:tcW w:w="722" w:type="dxa"/>
            <w:vAlign w:val="center"/>
            <w:vMerge w:val="restart"/>
            <w:textDirection w:val="lrTb"/>
            <w:noWrap w:val="false"/>
          </w:tcPr>
          <w:p>
            <w:pPr>
              <w:pStyle w:val="1030"/>
              <w:jc w:val="center"/>
              <w:spacing w:line="360" w:lineRule="auto"/>
              <w:rPr>
                <w:rFonts w:ascii="宋体" w:hAnsi="宋体"/>
                <w:color w:val="000000"/>
                <w:szCs w:val="21"/>
              </w:rPr>
            </w:pPr>
            <w:r>
              <w:rPr>
                <w:rFonts w:hint="eastAsia" w:ascii="宋体" w:hAnsi="宋体"/>
                <w:color w:val="000000"/>
                <w:szCs w:val="21"/>
              </w:rPr>
              <w:t xml:space="preserve">企业实力</w:t>
            </w:r>
            <w:r>
              <w:rPr>
                <w:rFonts w:ascii="宋体" w:hAnsi="宋体"/>
                <w:color w:val="000000"/>
                <w:szCs w:val="21"/>
              </w:rPr>
            </w:r>
            <w:r/>
          </w:p>
          <w:p>
            <w:pPr>
              <w:pStyle w:val="1030"/>
              <w:jc w:val="center"/>
              <w:spacing w:line="360" w:lineRule="auto"/>
              <w:rPr>
                <w:rFonts w:ascii="宋体" w:hAnsi="宋体"/>
                <w:color w:val="000000"/>
                <w:szCs w:val="21"/>
              </w:rPr>
            </w:pPr>
            <w:r>
              <w:rPr>
                <w:rFonts w:hint="eastAsia" w:ascii="宋体" w:hAnsi="宋体"/>
                <w:color w:val="000000"/>
                <w:szCs w:val="21"/>
              </w:rPr>
              <w:t xml:space="preserve">（28分）</w:t>
            </w:r>
            <w:r>
              <w:rPr>
                <w:rFonts w:ascii="宋体" w:hAnsi="宋体"/>
                <w:color w:val="000000"/>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体系认证</w:t>
            </w:r>
            <w:r>
              <w:rPr>
                <w:rFonts w:hint="eastAsia" w:ascii="宋体" w:hAnsi="宋体"/>
                <w:color w:val="000000"/>
                <w:szCs w:val="21"/>
              </w:rPr>
            </w:r>
            <w:r/>
          </w:p>
          <w:p>
            <w:pPr>
              <w:pStyle w:val="1030"/>
              <w:jc w:val="center"/>
              <w:spacing w:line="360" w:lineRule="auto"/>
              <w:rPr>
                <w:rFonts w:hint="eastAsia" w:ascii="宋体" w:hAnsi="宋体"/>
                <w:color w:val="000000"/>
                <w:szCs w:val="21"/>
              </w:rPr>
            </w:pPr>
            <w:r>
              <w:rPr>
                <w:rFonts w:hint="eastAsia" w:ascii="宋体" w:hAnsi="宋体"/>
                <w:color w:val="000000"/>
                <w:szCs w:val="21"/>
              </w:rPr>
              <w:t xml:space="preserve">（4分）</w:t>
            </w:r>
            <w:r>
              <w:rPr>
                <w:rFonts w:hint="eastAsia" w:ascii="宋体" w:hAnsi="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投标人或其联合体单位具有有效期内的质量管理体系认证证书、环境管理体系认证证书、职业健康安全管理体系认证证书、信息安全管理体系认证证书，每具备一项得1分，满分4分。须提供证书原件扫描上传。</w:t>
            </w:r>
            <w:r>
              <w:rPr>
                <w:rFonts w:hint="eastAsia" w:ascii="宋体" w:hAnsi="宋体"/>
                <w:color w:val="000000"/>
                <w:szCs w:val="21"/>
              </w:rPr>
            </w:r>
            <w:r/>
          </w:p>
        </w:tc>
      </w:tr>
      <w:tr>
        <w:trPr>
          <w:trHeight w:val="423"/>
        </w:trPr>
        <w:tc>
          <w:tcPr>
            <w:tcW w:w="722" w:type="dxa"/>
            <w:vAlign w:val="center"/>
            <w:vMerge w:val="continue"/>
            <w:textDirection w:val="lrTb"/>
            <w:noWrap w:val="false"/>
          </w:tcPr>
          <w:p>
            <w:pPr>
              <w:pStyle w:val="1030"/>
              <w:jc w:val="center"/>
              <w:spacing w:line="360" w:lineRule="auto"/>
              <w:rPr>
                <w:rFonts w:ascii="宋体" w:hAnsi="宋体"/>
                <w:color w:val="000000"/>
                <w:szCs w:val="21"/>
              </w:rPr>
            </w:pPr>
            <w:r>
              <w:rPr>
                <w:rFonts w:ascii="宋体" w:hAnsi="宋体"/>
                <w:color w:val="000000"/>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服务认证</w:t>
            </w:r>
            <w:r>
              <w:rPr>
                <w:rFonts w:hint="eastAsia" w:ascii="宋体" w:hAnsi="宋体"/>
                <w:color w:val="000000"/>
                <w:szCs w:val="21"/>
              </w:rPr>
            </w:r>
            <w:r/>
          </w:p>
          <w:p>
            <w:pPr>
              <w:pStyle w:val="1030"/>
              <w:jc w:val="center"/>
              <w:spacing w:line="360" w:lineRule="auto"/>
              <w:rPr>
                <w:rFonts w:hint="eastAsia" w:ascii="宋体" w:hAnsi="宋体"/>
                <w:color w:val="000000"/>
                <w:szCs w:val="21"/>
              </w:rPr>
            </w:pPr>
            <w:r>
              <w:rPr>
                <w:rFonts w:hint="eastAsia" w:ascii="宋体" w:hAnsi="宋体"/>
                <w:color w:val="000000"/>
                <w:szCs w:val="21"/>
              </w:rPr>
              <w:t xml:space="preserve">（6分）</w:t>
            </w:r>
            <w:r>
              <w:rPr>
                <w:rFonts w:hint="eastAsia" w:ascii="宋体" w:hAnsi="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投标人或其联合体单位具有有效期内的合同能源管理服务认证5A级证书、节能技术服务认证5A级证书、综合能源服务认证5A级证书，每具备一项得2分，满分6分。提供证书原件扫描上传。</w:t>
            </w:r>
            <w:r>
              <w:rPr>
                <w:rFonts w:hint="eastAsia" w:ascii="宋体" w:hAnsi="宋体"/>
                <w:color w:val="000000"/>
                <w:szCs w:val="21"/>
              </w:rPr>
            </w:r>
            <w:r/>
          </w:p>
        </w:tc>
      </w:tr>
      <w:tr>
        <w:trPr>
          <w:trHeight w:val="423"/>
        </w:trPr>
        <w:tc>
          <w:tcPr>
            <w:tcW w:w="722" w:type="dxa"/>
            <w:vAlign w:val="center"/>
            <w:vMerge w:val="continue"/>
            <w:textDirection w:val="lrTb"/>
            <w:noWrap w:val="false"/>
          </w:tcPr>
          <w:p>
            <w:pPr>
              <w:pStyle w:val="1030"/>
              <w:jc w:val="center"/>
              <w:spacing w:line="360" w:lineRule="auto"/>
              <w:rPr>
                <w:rFonts w:ascii="宋体" w:hAnsi="宋体"/>
                <w:color w:val="000000"/>
                <w:szCs w:val="21"/>
              </w:rPr>
            </w:pPr>
            <w:r>
              <w:rPr>
                <w:rFonts w:ascii="宋体" w:hAnsi="宋体"/>
                <w:color w:val="000000"/>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产品检测</w:t>
            </w:r>
            <w:r>
              <w:rPr>
                <w:rFonts w:hint="eastAsia" w:ascii="宋体" w:hAnsi="宋体"/>
                <w:color w:val="000000"/>
                <w:szCs w:val="21"/>
              </w:rPr>
            </w:r>
            <w:r/>
          </w:p>
          <w:p>
            <w:pPr>
              <w:pStyle w:val="1030"/>
              <w:jc w:val="center"/>
              <w:spacing w:line="360" w:lineRule="auto"/>
              <w:rPr>
                <w:rFonts w:hint="eastAsia" w:ascii="宋体" w:hAnsi="宋体"/>
                <w:color w:val="000000"/>
                <w:szCs w:val="21"/>
              </w:rPr>
            </w:pPr>
            <w:r>
              <w:rPr>
                <w:rFonts w:hint="eastAsia" w:ascii="宋体" w:hAnsi="宋体"/>
                <w:color w:val="000000"/>
                <w:szCs w:val="21"/>
              </w:rPr>
              <w:t xml:space="preserve">（4分）</w:t>
            </w:r>
            <w:r>
              <w:rPr>
                <w:rFonts w:hint="eastAsia" w:ascii="宋体" w:hAnsi="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投标人或其联合体单位所提供的符合采购需求的包括多联机网关、智能数据网关、分体空调控制器、电计量控制器在内的主要产品，具有CNAS或CMA标识的第三方检测（检验）报告的，每提供1项得1分，本项最高4分。需提供报告原件扫描上传。</w:t>
            </w:r>
            <w:r>
              <w:rPr>
                <w:rFonts w:hint="eastAsia" w:ascii="宋体" w:hAnsi="宋体"/>
                <w:color w:val="000000"/>
                <w:szCs w:val="21"/>
              </w:rPr>
            </w:r>
            <w:r/>
          </w:p>
        </w:tc>
      </w:tr>
      <w:tr>
        <w:trPr>
          <w:trHeight w:val="423"/>
        </w:trPr>
        <w:tc>
          <w:tcPr>
            <w:tcW w:w="722" w:type="dxa"/>
            <w:vAlign w:val="center"/>
            <w:vMerge w:val="continue"/>
            <w:textDirection w:val="lrTb"/>
            <w:noWrap w:val="false"/>
          </w:tcPr>
          <w:p>
            <w:pPr>
              <w:pStyle w:val="1030"/>
              <w:jc w:val="center"/>
              <w:spacing w:line="360" w:lineRule="auto"/>
              <w:rPr>
                <w:rFonts w:ascii="宋体" w:hAnsi="宋体"/>
                <w:color w:val="000000"/>
                <w:szCs w:val="21"/>
              </w:rPr>
            </w:pPr>
            <w:r>
              <w:rPr>
                <w:rFonts w:ascii="宋体" w:hAnsi="宋体"/>
                <w:color w:val="000000"/>
                <w:szCs w:val="21"/>
              </w:rPr>
            </w:r>
            <w:r/>
          </w:p>
        </w:tc>
        <w:tc>
          <w:tcPr>
            <w:tcW w:w="637"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企业荣誉</w:t>
            </w:r>
            <w:r>
              <w:rPr>
                <w:rFonts w:hint="eastAsia" w:ascii="宋体" w:hAnsi="宋体"/>
                <w:color w:val="000000"/>
                <w:szCs w:val="21"/>
              </w:rPr>
            </w:r>
            <w:r/>
          </w:p>
          <w:p>
            <w:pPr>
              <w:pStyle w:val="1030"/>
              <w:jc w:val="center"/>
              <w:spacing w:line="360" w:lineRule="auto"/>
              <w:rPr>
                <w:rFonts w:hint="eastAsia" w:ascii="宋体" w:hAnsi="宋体"/>
                <w:color w:val="000000"/>
                <w:szCs w:val="21"/>
              </w:rPr>
            </w:pPr>
            <w:r>
              <w:rPr>
                <w:rFonts w:hint="eastAsia" w:ascii="宋体" w:hAnsi="宋体"/>
                <w:color w:val="000000"/>
                <w:szCs w:val="21"/>
              </w:rPr>
              <w:t xml:space="preserve">（2分）</w:t>
            </w:r>
            <w:r>
              <w:rPr>
                <w:rFonts w:hint="eastAsia" w:ascii="宋体" w:hAnsi="宋体"/>
                <w:color w:val="000000"/>
                <w:szCs w:val="21"/>
              </w:rPr>
            </w:r>
            <w:r/>
          </w:p>
        </w:tc>
        <w:tc>
          <w:tcPr>
            <w:tcW w:w="3641"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投标人或其联合体单位具有有效期内省级专精特新中小企业证书、高新技术企业证书的，每具备一项得1分，满分2分。须提供证书原件扫描上传。</w:t>
            </w:r>
            <w:r>
              <w:rPr>
                <w:rFonts w:hint="eastAsia" w:ascii="宋体" w:hAnsi="宋体"/>
                <w:color w:val="000000"/>
                <w:szCs w:val="21"/>
              </w:rPr>
            </w:r>
            <w:r/>
          </w:p>
        </w:tc>
      </w:tr>
      <w:tr>
        <w:trPr>
          <w:trHeight w:val="423"/>
        </w:trPr>
        <w:tc>
          <w:tcPr>
            <w:tcW w:w="722" w:type="dxa"/>
            <w:vAlign w:val="center"/>
            <w:vMerge w:val="continue"/>
            <w:textDirection w:val="lrTb"/>
            <w:noWrap w:val="false"/>
          </w:tcPr>
          <w:p>
            <w:pPr>
              <w:pStyle w:val="1030"/>
              <w:jc w:val="center"/>
              <w:spacing w:line="360" w:lineRule="auto"/>
              <w:rPr>
                <w:rFonts w:ascii="宋体" w:hAnsi="宋体"/>
                <w:color w:val="000000"/>
                <w:szCs w:val="21"/>
              </w:rPr>
            </w:pPr>
            <w:r>
              <w:rPr>
                <w:rFonts w:ascii="宋体" w:hAnsi="宋体"/>
                <w:color w:val="000000"/>
                <w:szCs w:val="21"/>
              </w:rPr>
            </w:r>
            <w:r/>
          </w:p>
        </w:tc>
        <w:tc>
          <w:tcPr>
            <w:tcW w:w="637" w:type="dxa"/>
            <w:vAlign w:val="center"/>
            <w:vMerge w:val="restart"/>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项目团队</w:t>
            </w:r>
            <w:r>
              <w:rPr>
                <w:rFonts w:hint="eastAsia" w:ascii="宋体" w:hAnsi="宋体"/>
                <w:color w:val="000000"/>
                <w:szCs w:val="21"/>
              </w:rPr>
            </w:r>
            <w:r/>
          </w:p>
          <w:p>
            <w:pPr>
              <w:pStyle w:val="1030"/>
              <w:jc w:val="center"/>
              <w:spacing w:line="360" w:lineRule="auto"/>
              <w:rPr>
                <w:rFonts w:hint="eastAsia" w:ascii="宋体" w:hAnsi="宋体"/>
                <w:color w:val="000000"/>
                <w:szCs w:val="21"/>
              </w:rPr>
            </w:pPr>
            <w:r>
              <w:rPr>
                <w:rFonts w:hint="eastAsia" w:ascii="宋体" w:hAnsi="宋体"/>
                <w:color w:val="000000"/>
                <w:szCs w:val="21"/>
              </w:rPr>
              <w:t xml:space="preserve">（12分）</w:t>
            </w:r>
            <w:r>
              <w:rPr>
                <w:rFonts w:hint="eastAsia" w:ascii="宋体" w:hAnsi="宋体"/>
                <w:color w:val="000000"/>
                <w:szCs w:val="21"/>
              </w:rPr>
            </w:r>
            <w:r/>
          </w:p>
        </w:tc>
        <w:tc>
          <w:tcPr>
            <w:tcW w:w="3641" w:type="dxa"/>
            <w:vAlign w:val="center"/>
            <w:textDirection w:val="lrTb"/>
            <w:noWrap w:val="false"/>
          </w:tcPr>
          <w:p>
            <w:pPr>
              <w:pStyle w:val="1030"/>
              <w:spacing w:line="360" w:lineRule="auto"/>
              <w:rPr>
                <w:rFonts w:ascii="宋体" w:hAnsi="宋体"/>
                <w:color w:val="000000"/>
                <w:szCs w:val="21"/>
              </w:rPr>
            </w:pPr>
            <w:r>
              <w:rPr>
                <w:rFonts w:hint="eastAsia" w:ascii="宋体" w:hAnsi="宋体"/>
                <w:color w:val="000000"/>
                <w:szCs w:val="21"/>
              </w:rPr>
              <w:t xml:space="preserve">投标人或其联合体单位拟派的项目负责人具有一级注册建造工程师（机电工程专业）且具有相应的安全生产知识考核合格证书得2分；具有二级注册建造工程师（机电工程专业）且具有相应的安全生产知识考核合格证书得1分；不提供不得分。注：须提供有效证书原件扫描上传及近三个月内任意一个月投标人为其缴纳的社保证明原件扫描上传，不提供不得分。</w:t>
            </w:r>
            <w:r>
              <w:rPr>
                <w:rFonts w:ascii="宋体" w:hAnsi="宋体"/>
                <w:color w:val="000000"/>
                <w:szCs w:val="21"/>
              </w:rPr>
            </w:r>
            <w:r/>
          </w:p>
        </w:tc>
      </w:tr>
      <w:tr>
        <w:trPr>
          <w:trHeight w:val="423"/>
        </w:trPr>
        <w:tc>
          <w:tcPr>
            <w:tcW w:w="722" w:type="dxa"/>
            <w:vAlign w:val="center"/>
            <w:vMerge w:val="continue"/>
            <w:textDirection w:val="lrTb"/>
            <w:noWrap w:val="false"/>
          </w:tcPr>
          <w:p>
            <w:pPr>
              <w:pStyle w:val="1030"/>
              <w:jc w:val="center"/>
              <w:spacing w:line="360" w:lineRule="auto"/>
              <w:rPr>
                <w:rFonts w:ascii="宋体" w:hAnsi="宋体"/>
                <w:color w:val="000000"/>
                <w:szCs w:val="21"/>
              </w:rPr>
            </w:pPr>
            <w:r>
              <w:rPr>
                <w:rFonts w:ascii="宋体" w:hAnsi="宋体"/>
                <w:color w:val="000000"/>
                <w:szCs w:val="21"/>
              </w:rPr>
            </w:r>
            <w:r/>
          </w:p>
        </w:tc>
        <w:tc>
          <w:tcPr>
            <w:tcW w:w="637" w:type="dxa"/>
            <w:vAlign w:val="center"/>
            <w:vMerge w:val="continue"/>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r>
            <w:r/>
          </w:p>
        </w:tc>
        <w:tc>
          <w:tcPr>
            <w:tcW w:w="3641" w:type="dxa"/>
            <w:vAlign w:val="center"/>
            <w:textDirection w:val="lrTb"/>
            <w:noWrap w:val="false"/>
          </w:tcPr>
          <w:p>
            <w:pPr>
              <w:pStyle w:val="1030"/>
              <w:spacing w:line="360" w:lineRule="auto"/>
              <w:rPr>
                <w:rFonts w:ascii="宋体" w:hAnsi="宋体"/>
                <w:color w:val="000000"/>
                <w:szCs w:val="21"/>
              </w:rPr>
            </w:pPr>
            <w:r>
              <w:rPr>
                <w:rFonts w:hint="eastAsia" w:ascii="宋体" w:hAnsi="宋体"/>
                <w:color w:val="000000"/>
                <w:szCs w:val="21"/>
              </w:rPr>
              <w:t xml:space="preserve">投标人或其联合体单位拟派的项目负责人具有高级工程师职称的得2分；具有工程师职称的得1分；不提供不得分。注：须提供有效证书原件扫描上传，不提供不得分。</w:t>
            </w:r>
            <w:r>
              <w:rPr>
                <w:rFonts w:ascii="宋体" w:hAnsi="宋体"/>
                <w:color w:val="000000"/>
                <w:szCs w:val="21"/>
              </w:rPr>
            </w:r>
            <w:r/>
          </w:p>
        </w:tc>
      </w:tr>
      <w:tr>
        <w:trPr>
          <w:trHeight w:val="423"/>
        </w:trPr>
        <w:tc>
          <w:tcPr>
            <w:tcW w:w="722" w:type="dxa"/>
            <w:vAlign w:val="center"/>
            <w:vMerge w:val="continue"/>
            <w:textDirection w:val="lrTb"/>
            <w:noWrap w:val="false"/>
          </w:tcPr>
          <w:p>
            <w:pPr>
              <w:pStyle w:val="1030"/>
              <w:jc w:val="center"/>
              <w:spacing w:line="360" w:lineRule="auto"/>
              <w:rPr>
                <w:rFonts w:ascii="宋体" w:hAnsi="宋体"/>
                <w:color w:val="000000"/>
                <w:szCs w:val="21"/>
              </w:rPr>
            </w:pPr>
            <w:r>
              <w:rPr>
                <w:rFonts w:ascii="宋体" w:hAnsi="宋体"/>
                <w:color w:val="000000"/>
                <w:szCs w:val="21"/>
              </w:rPr>
            </w:r>
            <w:r/>
          </w:p>
        </w:tc>
        <w:tc>
          <w:tcPr>
            <w:tcW w:w="637" w:type="dxa"/>
            <w:vAlign w:val="center"/>
            <w:vMerge w:val="continue"/>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r>
            <w:r/>
          </w:p>
        </w:tc>
        <w:tc>
          <w:tcPr>
            <w:tcW w:w="3641" w:type="dxa"/>
            <w:vAlign w:val="center"/>
            <w:textDirection w:val="lrTb"/>
            <w:noWrap w:val="false"/>
          </w:tcPr>
          <w:p>
            <w:pPr>
              <w:pStyle w:val="1030"/>
              <w:spacing w:line="360" w:lineRule="auto"/>
              <w:rPr>
                <w:rFonts w:ascii="宋体" w:hAnsi="宋体"/>
                <w:color w:val="000000"/>
                <w:szCs w:val="21"/>
              </w:rPr>
            </w:pPr>
            <w:r>
              <w:rPr>
                <w:rFonts w:hint="eastAsia" w:ascii="宋体" w:hAnsi="宋体"/>
                <w:color w:val="000000"/>
                <w:szCs w:val="21"/>
              </w:rPr>
              <w:t xml:space="preserve">投标人或其联合体单位拟派项目负责人2022年1月1日以来具有类似项目服务经验的，每有1个得1分，满分2分，不提供不得分。（须提供合同或其他证明材料原件扫描上传，日期以合同签订时间为准，不提供不得分）。</w:t>
            </w:r>
            <w:r>
              <w:rPr>
                <w:rFonts w:ascii="宋体" w:hAnsi="宋体"/>
                <w:color w:val="000000"/>
                <w:szCs w:val="21"/>
              </w:rPr>
            </w:r>
            <w:r/>
          </w:p>
        </w:tc>
      </w:tr>
      <w:tr>
        <w:trPr>
          <w:trHeight w:val="423"/>
        </w:trPr>
        <w:tc>
          <w:tcPr>
            <w:tcW w:w="722" w:type="dxa"/>
            <w:vAlign w:val="center"/>
            <w:vMerge w:val="continue"/>
            <w:textDirection w:val="lrTb"/>
            <w:noWrap w:val="false"/>
          </w:tcPr>
          <w:p>
            <w:pPr>
              <w:pStyle w:val="1030"/>
              <w:jc w:val="center"/>
              <w:spacing w:line="360" w:lineRule="auto"/>
              <w:rPr>
                <w:rFonts w:ascii="宋体" w:hAnsi="宋体"/>
                <w:color w:val="000000"/>
                <w:szCs w:val="21"/>
              </w:rPr>
            </w:pPr>
            <w:r>
              <w:rPr>
                <w:rFonts w:ascii="宋体" w:hAnsi="宋体"/>
                <w:color w:val="000000"/>
                <w:szCs w:val="21"/>
              </w:rPr>
            </w:r>
            <w:r/>
          </w:p>
        </w:tc>
        <w:tc>
          <w:tcPr>
            <w:tcW w:w="637" w:type="dxa"/>
            <w:vAlign w:val="center"/>
            <w:vMerge w:val="continue"/>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r>
            <w:r/>
          </w:p>
        </w:tc>
        <w:tc>
          <w:tcPr>
            <w:tcW w:w="3641" w:type="dxa"/>
            <w:vAlign w:val="center"/>
            <w:textDirection w:val="lrTb"/>
            <w:noWrap w:val="false"/>
          </w:tcPr>
          <w:p>
            <w:pPr>
              <w:pStyle w:val="1030"/>
              <w:spacing w:line="360" w:lineRule="auto"/>
              <w:rPr>
                <w:rFonts w:ascii="宋体" w:hAnsi="宋体"/>
                <w:color w:val="000000"/>
                <w:szCs w:val="21"/>
              </w:rPr>
            </w:pPr>
            <w:r>
              <w:rPr>
                <w:rFonts w:hint="eastAsia" w:ascii="宋体" w:hAnsi="宋体"/>
                <w:color w:val="000000"/>
                <w:szCs w:val="21"/>
              </w:rPr>
              <w:t xml:space="preserve">投标人或其联合体单位拟派的技术负责人（除项目负责人外）具有高级工程师职称的得2分；具有工程师职称的得1分；不提供不得分。注：须提供有效证书原件扫描上传及近三个月内任意一个月投标人为其缴纳的社保证明原件扫描上传，不提供不得分。</w:t>
            </w:r>
            <w:r>
              <w:rPr>
                <w:rFonts w:ascii="宋体" w:hAnsi="宋体"/>
                <w:color w:val="000000"/>
                <w:szCs w:val="21"/>
              </w:rPr>
            </w:r>
            <w:r/>
          </w:p>
        </w:tc>
      </w:tr>
      <w:tr>
        <w:trPr>
          <w:trHeight w:val="423"/>
        </w:trPr>
        <w:tc>
          <w:tcPr>
            <w:tcW w:w="722" w:type="dxa"/>
            <w:vAlign w:val="center"/>
            <w:vMerge w:val="continue"/>
            <w:textDirection w:val="lrTb"/>
            <w:noWrap w:val="false"/>
          </w:tcPr>
          <w:p>
            <w:pPr>
              <w:pStyle w:val="1030"/>
              <w:jc w:val="center"/>
              <w:spacing w:line="360" w:lineRule="auto"/>
              <w:rPr>
                <w:rFonts w:ascii="宋体" w:hAnsi="宋体" w:cs="宋体"/>
                <w:szCs w:val="21"/>
              </w:rPr>
            </w:pPr>
            <w:r>
              <w:rPr>
                <w:rFonts w:ascii="宋体" w:hAnsi="宋体" w:cs="宋体"/>
                <w:szCs w:val="21"/>
              </w:rPr>
            </w:r>
            <w:r/>
          </w:p>
        </w:tc>
        <w:tc>
          <w:tcPr>
            <w:tcW w:w="637" w:type="dxa"/>
            <w:vAlign w:val="center"/>
            <w:vMerge w:val="continue"/>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r>
            <w:r/>
          </w:p>
        </w:tc>
        <w:tc>
          <w:tcPr>
            <w:tcW w:w="3641" w:type="dxa"/>
            <w:vAlign w:val="center"/>
            <w:textDirection w:val="lrTb"/>
            <w:noWrap w:val="false"/>
          </w:tcPr>
          <w:p>
            <w:pPr>
              <w:pStyle w:val="1030"/>
              <w:spacing w:line="360" w:lineRule="auto"/>
              <w:rPr>
                <w:rFonts w:ascii="宋体" w:hAnsi="宋体"/>
                <w:color w:val="000000"/>
                <w:szCs w:val="21"/>
              </w:rPr>
            </w:pPr>
            <w:r>
              <w:rPr>
                <w:rFonts w:hint="eastAsia" w:ascii="宋体" w:hAnsi="宋体"/>
                <w:color w:val="000000"/>
                <w:szCs w:val="21"/>
              </w:rPr>
              <w:t xml:space="preserve">投标人或其联合体单位拟派的其他团队成员（除项目负责人、技术负责人外）持有包括电工作业、制冷与空调作业、高处作业、焊接与热切割作业等作业范围的特种作业操作证的，每提供一类得1分，满分4分。注：须提供有效证书原件扫描上传及近三个月内任意一个月投标人为以上人员缴纳的社保证明原件扫描上传，不提供不得分。</w:t>
            </w:r>
            <w:r>
              <w:rPr>
                <w:rFonts w:ascii="宋体" w:hAnsi="宋体"/>
                <w:color w:val="000000"/>
                <w:szCs w:val="21"/>
              </w:rPr>
            </w:r>
            <w:r/>
          </w:p>
        </w:tc>
      </w:tr>
      <w:tr>
        <w:trPr>
          <w:trHeight w:val="423"/>
        </w:trPr>
        <w:tc>
          <w:tcPr>
            <w:tcW w:w="722" w:type="dxa"/>
            <w:vAlign w:val="center"/>
            <w:textDirection w:val="lrTb"/>
            <w:noWrap w:val="false"/>
          </w:tcPr>
          <w:p>
            <w:pPr>
              <w:pStyle w:val="1030"/>
              <w:jc w:val="center"/>
              <w:spacing w:line="360" w:lineRule="auto"/>
              <w:rPr>
                <w:rFonts w:hint="eastAsia" w:ascii="宋体" w:hAnsi="宋体"/>
                <w:color w:val="000000"/>
                <w:szCs w:val="21"/>
              </w:rPr>
            </w:pPr>
            <w:r>
              <w:rPr>
                <w:rFonts w:hint="eastAsia" w:ascii="宋体" w:hAnsi="宋体"/>
                <w:color w:val="000000"/>
                <w:szCs w:val="21"/>
              </w:rPr>
              <w:t xml:space="preserve">类似业绩</w:t>
            </w:r>
            <w:r>
              <w:rPr>
                <w:rFonts w:hint="eastAsia" w:ascii="宋体" w:hAnsi="宋体"/>
                <w:color w:val="000000"/>
                <w:szCs w:val="21"/>
              </w:rPr>
            </w:r>
            <w:r/>
          </w:p>
          <w:p>
            <w:pPr>
              <w:pStyle w:val="1030"/>
              <w:jc w:val="center"/>
              <w:spacing w:line="360" w:lineRule="auto"/>
              <w:rPr>
                <w:rFonts w:ascii="宋体" w:hAnsi="宋体"/>
                <w:color w:val="000000"/>
                <w:szCs w:val="21"/>
              </w:rPr>
            </w:pPr>
            <w:r>
              <w:rPr>
                <w:rFonts w:hint="eastAsia" w:ascii="宋体" w:hAnsi="宋体"/>
                <w:color w:val="000000"/>
                <w:szCs w:val="21"/>
              </w:rPr>
              <w:t xml:space="preserve">（12分）</w:t>
            </w:r>
            <w:r>
              <w:rPr>
                <w:rFonts w:ascii="宋体" w:hAnsi="宋体"/>
                <w:color w:val="000000"/>
                <w:szCs w:val="21"/>
              </w:rPr>
            </w:r>
            <w:r/>
          </w:p>
        </w:tc>
        <w:tc>
          <w:tcPr>
            <w:gridSpan w:val="2"/>
            <w:tcW w:w="8099" w:type="dxa"/>
            <w:vAlign w:val="center"/>
            <w:textDirection w:val="lrTb"/>
            <w:noWrap w:val="false"/>
          </w:tcPr>
          <w:p>
            <w:pPr>
              <w:pStyle w:val="1030"/>
              <w:spacing w:line="360" w:lineRule="auto"/>
              <w:rPr>
                <w:rFonts w:hint="eastAsia" w:ascii="宋体" w:hAnsi="宋体"/>
                <w:color w:val="000000"/>
                <w:szCs w:val="21"/>
              </w:rPr>
            </w:pPr>
            <w:r>
              <w:rPr>
                <w:rFonts w:hint="eastAsia" w:ascii="宋体" w:hAnsi="宋体"/>
                <w:color w:val="000000"/>
                <w:szCs w:val="21"/>
              </w:rPr>
              <w:t xml:space="preserve">投标人或其联合体单位自2022年以来（以合同签订时间为准）承接过类似项目业绩的（类似业绩包括公共机构能源托管服务等项目）。每提供一个有效的项目业绩得2分，此项最高得12分；需提供项目合同关键页和至少一张对应合同范围内的有效发票原件扫描上传，未提供不得分。</w:t>
            </w:r>
            <w:r>
              <w:rPr>
                <w:rFonts w:hint="eastAsia" w:ascii="宋体" w:hAnsi="宋体"/>
                <w:color w:val="000000"/>
                <w:szCs w:val="21"/>
              </w:rPr>
            </w:r>
            <w:r/>
          </w:p>
        </w:tc>
      </w:tr>
    </w:tbl>
    <w:p>
      <w:pPr>
        <w:pStyle w:val="1030"/>
        <w:ind w:firstLine="240"/>
        <w:spacing w:line="360"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1030"/>
        <w:ind w:firstLine="240"/>
        <w:spacing w:line="360" w:lineRule="auto"/>
        <w:rPr>
          <w:rFonts w:ascii="宋体" w:hAnsi="宋体" w:cs="宋体"/>
          <w:szCs w:val="21"/>
        </w:rPr>
      </w:pPr>
      <w:r>
        <w:rPr>
          <w:rFonts w:hint="eastAsia" w:ascii="宋体" w:hAnsi="宋体" w:cs="宋体"/>
          <w:szCs w:val="21"/>
        </w:rPr>
        <w:t xml:space="preserve">1、评委应对以上各得分项独立评分，投标人最终得分为所有评委评分汇总的平均值。</w:t>
      </w:r>
      <w:r>
        <w:rPr>
          <w:rFonts w:ascii="宋体" w:hAnsi="宋体" w:cs="宋体"/>
          <w:szCs w:val="21"/>
        </w:rPr>
      </w:r>
      <w:r/>
    </w:p>
    <w:p>
      <w:pPr>
        <w:pStyle w:val="1030"/>
        <w:ind w:firstLine="240"/>
        <w:spacing w:line="360" w:lineRule="auto"/>
        <w:rPr>
          <w:rFonts w:ascii="宋体" w:hAnsi="宋体" w:cs="宋体"/>
          <w:szCs w:val="21"/>
        </w:rPr>
      </w:pPr>
      <w:r>
        <w:rPr>
          <w:rFonts w:hint="eastAsia" w:ascii="宋体" w:hAnsi="宋体" w:cs="宋体"/>
          <w:szCs w:val="21"/>
        </w:rPr>
        <w:t xml:space="preserve">2、根据《关于推动解决政府采购异常低价问题相关工作的通知》（苏财购〔2025〕62号）</w:t>
      </w:r>
      <w:r>
        <w:rPr>
          <w:rFonts w:ascii="宋体" w:hAnsi="宋体" w:cs="宋体"/>
          <w:szCs w:val="21"/>
        </w:rPr>
      </w:r>
      <w:r/>
    </w:p>
    <w:p>
      <w:pPr>
        <w:pStyle w:val="1030"/>
        <w:ind w:firstLine="240"/>
        <w:spacing w:line="360" w:lineRule="auto"/>
        <w:rPr>
          <w:rFonts w:ascii="宋体" w:hAnsi="宋体" w:cs="宋体"/>
          <w:szCs w:val="21"/>
        </w:rPr>
      </w:pPr>
      <w:r>
        <w:rPr>
          <w:rFonts w:hint="eastAsia" w:ascii="宋体" w:hAnsi="宋体" w:cs="宋体"/>
          <w:szCs w:val="21"/>
        </w:rPr>
        <w:t xml:space="preserve">（一）评审过程中出现下列情形之一的，评审委员会将启动异常低价投标（响应）审查程序：</w:t>
      </w:r>
      <w:r>
        <w:rPr>
          <w:rFonts w:ascii="宋体" w:hAnsi="宋体" w:cs="宋体"/>
          <w:szCs w:val="21"/>
        </w:rPr>
      </w:r>
      <w:r/>
    </w:p>
    <w:p>
      <w:pPr>
        <w:pStyle w:val="1030"/>
        <w:ind w:firstLine="240"/>
        <w:spacing w:line="360" w:lineRule="auto"/>
        <w:rPr>
          <w:rFonts w:ascii="宋体" w:hAnsi="宋体" w:cs="宋体"/>
          <w:szCs w:val="21"/>
        </w:rPr>
      </w:pPr>
      <w:r>
        <w:rPr>
          <w:rFonts w:hint="eastAsia" w:ascii="宋体" w:hAnsi="宋体" w:cs="宋体"/>
          <w:szCs w:val="21"/>
        </w:rPr>
        <w:t xml:space="preserve">（1）投标（响应）报价低于采购项目预算50%的，即投标（响应）报价&lt;采购项目预算×50%；</w:t>
      </w:r>
      <w:r>
        <w:rPr>
          <w:rFonts w:ascii="宋体" w:hAnsi="宋体" w:cs="宋体"/>
          <w:szCs w:val="21"/>
        </w:rPr>
      </w:r>
      <w:r/>
    </w:p>
    <w:p>
      <w:pPr>
        <w:pStyle w:val="1030"/>
        <w:ind w:firstLine="240"/>
        <w:spacing w:line="360" w:lineRule="auto"/>
        <w:rPr>
          <w:rFonts w:ascii="宋体" w:hAnsi="宋体" w:cs="宋体"/>
          <w:szCs w:val="21"/>
        </w:rPr>
      </w:pPr>
      <w:r>
        <w:rPr>
          <w:rFonts w:hint="eastAsia" w:ascii="宋体" w:hAnsi="宋体" w:cs="宋体"/>
          <w:szCs w:val="21"/>
        </w:rPr>
        <w:t xml:space="preserve">（2）投标（响应）报价低于采购项目最高限价45%的，即投标（响应）报价&lt;采购项目最高限价×45%；</w:t>
      </w:r>
      <w:r>
        <w:rPr>
          <w:rFonts w:ascii="宋体" w:hAnsi="宋体" w:cs="宋体"/>
          <w:szCs w:val="21"/>
        </w:rPr>
      </w:r>
      <w:r/>
    </w:p>
    <w:p>
      <w:pPr>
        <w:pStyle w:val="1030"/>
        <w:ind w:firstLine="240"/>
        <w:spacing w:line="360" w:lineRule="auto"/>
        <w:rPr>
          <w:rFonts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rPr>
          <w:rFonts w:ascii="宋体" w:hAnsi="宋体" w:cs="宋体"/>
          <w:szCs w:val="21"/>
        </w:rPr>
      </w:r>
      <w:r/>
    </w:p>
    <w:p>
      <w:pPr>
        <w:pStyle w:val="1030"/>
        <w:ind w:firstLine="240"/>
        <w:spacing w:line="360" w:lineRule="auto"/>
        <w:rPr>
          <w:rFonts w:hint="eastAsia" w:ascii="宋体" w:hAnsi="宋体" w:cs="宋体"/>
          <w:szCs w:val="21"/>
        </w:rPr>
      </w:pPr>
      <w:r>
        <w:rPr>
          <w:rFonts w:hint="eastAsia" w:ascii="宋体" w:hAnsi="宋体" w:cs="宋体"/>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rPr>
          <w:rFonts w:hint="eastAsia" w:ascii="宋体" w:hAnsi="宋体" w:cs="宋体"/>
          <w:szCs w:val="21"/>
        </w:rPr>
      </w:r>
      <w:r/>
    </w:p>
    <w:p>
      <w:pPr>
        <w:pStyle w:val="1031"/>
        <w:jc w:val="center"/>
        <w:rPr>
          <w:rFonts w:hint="eastAsia" w:ascii="宋体" w:hAnsi="宋体"/>
          <w:sz w:val="36"/>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36"/>
        </w:rPr>
      </w:r>
      <w:r/>
    </w:p>
    <w:p>
      <w:pPr>
        <w:pStyle w:val="1030"/>
        <w:rPr>
          <w:rFonts w:hint="eastAsia"/>
        </w:rPr>
      </w:pPr>
      <w:r>
        <w:rPr>
          <w:rFonts w:hint="eastAsia"/>
        </w:rPr>
      </w:r>
      <w:r/>
    </w:p>
    <w:p>
      <w:pPr>
        <w:pStyle w:val="1031"/>
        <w:jc w:val="center"/>
        <w:rPr>
          <w:rFonts w:ascii="宋体" w:hAnsi="宋体"/>
          <w:sz w:val="36"/>
        </w:rPr>
      </w:pPr>
      <w:r>
        <w:rPr>
          <w:rFonts w:hint="eastAsia" w:ascii="宋体" w:hAnsi="宋体"/>
          <w:sz w:val="36"/>
        </w:rPr>
        <w:t xml:space="preserve">第六章 投标文件格式 </w:t>
      </w:r>
      <w:r>
        <w:rPr>
          <w:rFonts w:ascii="宋体" w:hAnsi="宋体"/>
          <w:sz w:val="36"/>
        </w:rPr>
      </w:r>
      <w:r/>
    </w:p>
    <w:p>
      <w:pPr>
        <w:pStyle w:val="1030"/>
        <w:rPr>
          <w:rFonts w:ascii="黑体" w:eastAsia="黑体"/>
          <w:bCs/>
          <w:sz w:val="44"/>
        </w:rPr>
      </w:pPr>
      <w:r>
        <w:rPr>
          <w:rFonts w:ascii="黑体" w:eastAsia="黑体"/>
          <w:bCs/>
          <w:sz w:val="44"/>
        </w:rPr>
      </w:r>
      <w:r/>
    </w:p>
    <w:p>
      <w:pPr>
        <w:pStyle w:val="1030"/>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1030"/>
        <w:jc w:val="center"/>
        <w:rPr>
          <w:rFonts w:ascii="宋体" w:hAnsi="宋体"/>
          <w:b/>
          <w:sz w:val="72"/>
        </w:rPr>
      </w:pPr>
      <w:r>
        <w:rPr>
          <w:rFonts w:ascii="宋体" w:hAnsi="宋体"/>
          <w:b/>
          <w:sz w:val="72"/>
        </w:rPr>
      </w:r>
      <w:r/>
    </w:p>
    <w:p>
      <w:pPr>
        <w:pStyle w:val="1030"/>
        <w:jc w:val="center"/>
        <w:rPr>
          <w:rFonts w:ascii="宋体" w:hAnsi="宋体"/>
          <w:b/>
          <w:sz w:val="72"/>
        </w:rPr>
      </w:pPr>
      <w:r>
        <w:rPr>
          <w:rFonts w:ascii="宋体" w:hAnsi="宋体"/>
          <w:b/>
          <w:sz w:val="72"/>
        </w:rPr>
      </w:r>
      <w:r/>
    </w:p>
    <w:p>
      <w:pPr>
        <w:pStyle w:val="1030"/>
        <w:jc w:val="center"/>
        <w:rPr>
          <w:rFonts w:ascii="宋体" w:hAnsi="宋体"/>
          <w:b/>
          <w:sz w:val="36"/>
        </w:rPr>
      </w:pPr>
      <w:r>
        <w:rPr>
          <w:rFonts w:ascii="宋体" w:hAnsi="宋体"/>
          <w:b/>
          <w:sz w:val="36"/>
        </w:rPr>
      </w:r>
      <w:r/>
    </w:p>
    <w:p>
      <w:pPr>
        <w:pStyle w:val="1030"/>
        <w:jc w:val="center"/>
        <w:rPr>
          <w:rFonts w:ascii="宋体" w:hAnsi="宋体"/>
          <w:b/>
          <w:sz w:val="36"/>
        </w:rPr>
      </w:pPr>
      <w:r>
        <w:rPr>
          <w:rFonts w:ascii="宋体" w:hAnsi="宋体"/>
          <w:b/>
          <w:sz w:val="36"/>
        </w:rPr>
      </w:r>
      <w:r/>
    </w:p>
    <w:p>
      <w:pPr>
        <w:pStyle w:val="1030"/>
        <w:jc w:val="center"/>
        <w:rPr>
          <w:rFonts w:ascii="宋体" w:hAnsi="宋体"/>
          <w:b/>
          <w:sz w:val="36"/>
        </w:rPr>
      </w:pPr>
      <w:r>
        <w:rPr>
          <w:rFonts w:ascii="宋体" w:hAnsi="宋体"/>
          <w:b/>
          <w:sz w:val="36"/>
        </w:rPr>
      </w:r>
      <w:r/>
    </w:p>
    <w:p>
      <w:pPr>
        <w:pStyle w:val="1030"/>
        <w:jc w:val="center"/>
        <w:rPr>
          <w:rFonts w:ascii="宋体" w:hAnsi="宋体"/>
          <w:b/>
          <w:sz w:val="36"/>
        </w:rPr>
      </w:pPr>
      <w:r>
        <w:rPr>
          <w:rFonts w:ascii="宋体" w:hAnsi="宋体"/>
          <w:b/>
          <w:sz w:val="36"/>
        </w:rPr>
      </w:r>
      <w:r/>
    </w:p>
    <w:p>
      <w:pPr>
        <w:pStyle w:val="1030"/>
        <w:rPr>
          <w:rFonts w:ascii="宋体" w:hAnsi="宋体"/>
          <w:b/>
          <w:sz w:val="36"/>
        </w:rPr>
      </w:pPr>
      <w:r>
        <w:rPr>
          <w:rFonts w:ascii="宋体" w:hAnsi="宋体"/>
          <w:b/>
          <w:sz w:val="36"/>
        </w:rPr>
      </w:r>
      <w:r/>
    </w:p>
    <w:p>
      <w:pPr>
        <w:pStyle w:val="1030"/>
        <w:jc w:val="center"/>
        <w:rPr>
          <w:rFonts w:ascii="宋体" w:hAnsi="宋体"/>
          <w:b/>
          <w:sz w:val="36"/>
        </w:rPr>
      </w:pPr>
      <w:r>
        <w:rPr>
          <w:rFonts w:ascii="宋体" w:hAnsi="宋体"/>
          <w:b/>
          <w:sz w:val="36"/>
        </w:rPr>
      </w:r>
      <w:r/>
    </w:p>
    <w:p>
      <w:pPr>
        <w:pStyle w:val="103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30"/>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103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3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1030"/>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1030"/>
        <w:jc w:val="center"/>
        <w:spacing w:line="440" w:lineRule="exact"/>
        <w:rPr>
          <w:rFonts w:ascii="宋体" w:hAnsi="宋体"/>
          <w:b/>
          <w:bCs/>
          <w:sz w:val="32"/>
          <w:szCs w:val="32"/>
        </w:rPr>
      </w:pPr>
      <w:r>
        <w:rPr>
          <w:rFonts w:ascii="宋体" w:hAnsi="宋体"/>
          <w:b/>
          <w:bCs/>
          <w:sz w:val="32"/>
          <w:szCs w:val="32"/>
        </w:rPr>
      </w:r>
      <w:r/>
    </w:p>
    <w:p>
      <w:pPr>
        <w:pStyle w:val="1030"/>
        <w:jc w:val="center"/>
        <w:spacing w:line="440" w:lineRule="exact"/>
        <w:rPr>
          <w:rFonts w:ascii="宋体" w:hAnsi="宋体"/>
          <w:b/>
          <w:bCs/>
          <w:sz w:val="32"/>
          <w:szCs w:val="32"/>
        </w:rPr>
      </w:pPr>
      <w:r>
        <w:rPr>
          <w:rFonts w:ascii="宋体" w:hAnsi="宋体"/>
          <w:b/>
          <w:bCs/>
          <w:sz w:val="32"/>
          <w:szCs w:val="32"/>
        </w:rPr>
      </w:r>
      <w:r/>
    </w:p>
    <w:p>
      <w:pPr>
        <w:pStyle w:val="1030"/>
        <w:spacing w:line="440" w:lineRule="exact"/>
        <w:rPr>
          <w:rFonts w:ascii="宋体" w:hAnsi="宋体"/>
          <w:b/>
          <w:bCs/>
          <w:sz w:val="32"/>
          <w:szCs w:val="32"/>
        </w:rPr>
      </w:pPr>
      <w:r>
        <w:rPr>
          <w:rFonts w:ascii="宋体" w:hAnsi="宋体"/>
          <w:b/>
          <w:bCs/>
          <w:sz w:val="32"/>
          <w:szCs w:val="32"/>
        </w:rPr>
      </w:r>
      <w:r/>
    </w:p>
    <w:p>
      <w:pPr>
        <w:pStyle w:val="1030"/>
        <w:jc w:val="center"/>
        <w:spacing w:line="440" w:lineRule="exact"/>
        <w:rPr>
          <w:rFonts w:hint="eastAsia" w:ascii="宋体" w:hAnsi="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sz w:val="32"/>
          <w:szCs w:val="32"/>
        </w:rPr>
      </w:r>
      <w:r/>
    </w:p>
    <w:p>
      <w:pPr>
        <w:pStyle w:val="1030"/>
        <w:jc w:val="center"/>
        <w:spacing w:line="440" w:lineRule="exact"/>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1030"/>
        <w:jc w:val="center"/>
        <w:spacing w:line="440" w:lineRule="exact"/>
        <w:rPr>
          <w:rFonts w:ascii="宋体" w:hAnsi="宋体"/>
          <w:b/>
          <w:bCs/>
          <w:sz w:val="32"/>
          <w:szCs w:val="32"/>
        </w:rPr>
      </w:pPr>
      <w:r>
        <w:rPr>
          <w:rFonts w:ascii="宋体" w:hAnsi="宋体"/>
          <w:b/>
          <w:bCs/>
          <w:sz w:val="32"/>
          <w:szCs w:val="32"/>
        </w:rPr>
      </w:r>
      <w:r/>
    </w:p>
    <w:p>
      <w:pPr>
        <w:pStyle w:val="1030"/>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1030"/>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1030"/>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1030"/>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1030"/>
        <w:ind w:firstLine="480"/>
        <w:spacing w:line="360" w:lineRule="auto"/>
        <w:rPr>
          <w:rFonts w:ascii="宋体" w:hAnsi="宋体"/>
          <w:sz w:val="24"/>
        </w:rPr>
      </w:pPr>
      <w:r>
        <w:rPr>
          <w:rFonts w:hint="eastAsia" w:ascii="宋体" w:hAnsi="宋体"/>
          <w:sz w:val="24"/>
        </w:rPr>
        <w:t xml:space="preserve">五、分项报价表</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1030"/>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1030"/>
        <w:contextualSpacing/>
        <w:jc w:val="center"/>
        <w:rPr>
          <w:rFonts w:ascii="宋体" w:hAnsi="宋体"/>
          <w:b/>
          <w:sz w:val="72"/>
        </w:rPr>
      </w:pPr>
      <w:r>
        <w:rPr>
          <w:rFonts w:ascii="宋体" w:hAnsi="宋体"/>
          <w:b/>
          <w:sz w:val="72"/>
        </w:rPr>
      </w:r>
      <w:r/>
    </w:p>
    <w:p>
      <w:pPr>
        <w:pStyle w:val="1030"/>
        <w:contextualSpacing/>
        <w:jc w:val="center"/>
        <w:spacing w:line="600" w:lineRule="exact"/>
        <w:rPr>
          <w:rFonts w:ascii="宋体" w:hAnsi="宋体"/>
          <w:b/>
          <w:sz w:val="72"/>
        </w:rPr>
      </w:pPr>
      <w:r>
        <w:rPr>
          <w:rFonts w:ascii="宋体" w:hAnsi="宋体"/>
          <w:b/>
          <w:sz w:val="72"/>
        </w:rPr>
      </w:r>
      <w:r/>
    </w:p>
    <w:p>
      <w:pPr>
        <w:pStyle w:val="1030"/>
        <w:contextualSpacing/>
        <w:jc w:val="center"/>
        <w:spacing w:line="600" w:lineRule="exact"/>
        <w:rPr>
          <w:rFonts w:ascii="宋体" w:hAnsi="宋体"/>
          <w:b/>
          <w:sz w:val="72"/>
        </w:rPr>
      </w:pPr>
      <w:r>
        <w:rPr>
          <w:rFonts w:ascii="宋体" w:hAnsi="宋体"/>
          <w:b/>
          <w:sz w:val="72"/>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rPr>
          <w:rFonts w:ascii="宋体" w:hAnsi="宋体"/>
          <w:b/>
          <w:sz w:val="32"/>
          <w:szCs w:val="32"/>
        </w:rPr>
      </w:pPr>
      <w:r>
        <w:rPr>
          <w:rFonts w:ascii="宋体" w:hAnsi="宋体"/>
          <w:b/>
          <w:sz w:val="32"/>
          <w:szCs w:val="32"/>
        </w:rPr>
      </w:r>
      <w:r/>
    </w:p>
    <w:p>
      <w:pPr>
        <w:pStyle w:val="1032"/>
        <w:numPr>
          <w:ilvl w:val="0"/>
          <w:numId w:val="0"/>
        </w:numPr>
        <w:ind w:left="284"/>
        <w:spacing w:before="240" w:after="240"/>
        <w:rPr>
          <w:rFonts w:ascii="宋体" w:hAnsi="宋体"/>
          <w:b w:val="0"/>
          <w:sz w:val="32"/>
          <w:szCs w:val="32"/>
        </w:rPr>
      </w:pPr>
      <w:r>
        <w:rPr>
          <w:rFonts w:hint="eastAsia" w:ascii="宋体" w:hAnsi="宋体"/>
          <w:sz w:val="32"/>
          <w:szCs w:val="32"/>
        </w:rPr>
        <w:br w:type="page" w:clear="all"/>
      </w:r>
      <w:r>
        <w:rPr>
          <w:rFonts w:hint="eastAsia" w:ascii="宋体" w:hAnsi="宋体"/>
          <w:sz w:val="32"/>
        </w:rPr>
        <w:t xml:space="preserve">一、资格审查响应对照表</w:t>
      </w:r>
      <w:r>
        <w:rPr>
          <w:rFonts w:ascii="宋体" w:hAnsi="宋体"/>
          <w:b w:val="0"/>
          <w:sz w:val="32"/>
          <w:szCs w:val="32"/>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9"/>
        <w:gridCol w:w="1756"/>
      </w:tblGrid>
      <w:tr>
        <w:trPr>
          <w:trHeight w:val="647"/>
        </w:trPr>
        <w:tc>
          <w:tcPr>
            <w:tcW w:w="646" w:type="dxa"/>
            <w:vAlign w:val="center"/>
            <w:textDirection w:val="lrTb"/>
            <w:noWrap w:val="false"/>
          </w:tcPr>
          <w:p>
            <w:pPr>
              <w:pStyle w:val="1030"/>
              <w:jc w:val="center"/>
              <w:spacing w:line="240" w:lineRule="atLeast"/>
              <w:rPr>
                <w:rFonts w:ascii="幼圆" w:eastAsia="幼圆"/>
                <w:b/>
                <w:szCs w:val="21"/>
              </w:rPr>
            </w:pPr>
            <w:r>
              <w:rPr>
                <w:rFonts w:hint="eastAsia" w:ascii="幼圆" w:eastAsia="幼圆"/>
                <w:b/>
                <w:szCs w:val="21"/>
              </w:rPr>
              <w:t xml:space="preserve">序号</w:t>
            </w:r>
            <w:r>
              <w:rPr>
                <w:rFonts w:ascii="幼圆" w:eastAsia="幼圆"/>
                <w:b/>
                <w:szCs w:val="21"/>
              </w:rPr>
            </w:r>
            <w:r/>
          </w:p>
        </w:tc>
        <w:tc>
          <w:tcPr>
            <w:tcW w:w="5849" w:type="dxa"/>
            <w:vAlign w:val="center"/>
            <w:textDirection w:val="lrTb"/>
            <w:noWrap w:val="false"/>
          </w:tcPr>
          <w:p>
            <w:pPr>
              <w:pStyle w:val="1030"/>
              <w:jc w:val="center"/>
              <w:spacing w:line="240" w:lineRule="atLeast"/>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1756" w:type="dxa"/>
            <w:vAlign w:val="center"/>
            <w:textDirection w:val="lrTb"/>
            <w:noWrap w:val="false"/>
          </w:tcPr>
          <w:p>
            <w:pPr>
              <w:pStyle w:val="1030"/>
              <w:jc w:val="center"/>
              <w:spacing w:line="240" w:lineRule="atLeast"/>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030"/>
              <w:jc w:val="center"/>
              <w:spacing w:line="240" w:lineRule="atLeast"/>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419"/>
        </w:trPr>
        <w:tc>
          <w:tcPr>
            <w:gridSpan w:val="3"/>
            <w:tcW w:w="8251" w:type="dxa"/>
            <w:vAlign w:val="center"/>
            <w:textDirection w:val="lrTb"/>
            <w:noWrap w:val="false"/>
          </w:tcPr>
          <w:p>
            <w:pPr>
              <w:pStyle w:val="1030"/>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583"/>
        </w:trPr>
        <w:tc>
          <w:tcPr>
            <w:tcW w:w="646" w:type="dxa"/>
            <w:vAlign w:val="center"/>
            <w:textDirection w:val="lrTb"/>
            <w:noWrap w:val="false"/>
          </w:tcPr>
          <w:p>
            <w:pPr>
              <w:pStyle w:val="1030"/>
              <w:jc w:val="center"/>
              <w:rPr>
                <w:rFonts w:ascii="宋体" w:hAnsi="宋体"/>
                <w:b/>
                <w:szCs w:val="21"/>
              </w:rPr>
            </w:pPr>
            <w:r>
              <w:rPr>
                <w:rFonts w:hint="eastAsia" w:ascii="宋体" w:hAnsi="宋体"/>
                <w:szCs w:val="21"/>
              </w:rPr>
              <w:t xml:space="preserve">1</w:t>
            </w:r>
            <w:r>
              <w:rPr>
                <w:rFonts w:ascii="宋体" w:hAnsi="宋体"/>
                <w:b/>
                <w:szCs w:val="21"/>
              </w:rPr>
            </w:r>
            <w:r/>
          </w:p>
        </w:tc>
        <w:tc>
          <w:tcPr>
            <w:tcW w:w="5849" w:type="dxa"/>
            <w:vAlign w:val="center"/>
            <w:textDirection w:val="lrTb"/>
            <w:noWrap w:val="false"/>
          </w:tcPr>
          <w:p>
            <w:pPr>
              <w:pStyle w:val="1030"/>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ascii="宋体" w:hAnsi="宋体"/>
                <w:iCs/>
                <w:szCs w:val="21"/>
              </w:rPr>
            </w:r>
            <w:r/>
          </w:p>
        </w:tc>
        <w:tc>
          <w:tcPr>
            <w:tcW w:w="1756" w:type="dxa"/>
            <w:vAlign w:val="center"/>
            <w:textDirection w:val="lrTb"/>
            <w:noWrap w:val="false"/>
          </w:tcPr>
          <w:p>
            <w:pPr>
              <w:pStyle w:val="1030"/>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2</w:t>
            </w:r>
            <w:r>
              <w:rPr>
                <w:rFonts w:ascii="宋体" w:hAnsi="宋体"/>
                <w:szCs w:val="21"/>
              </w:rPr>
            </w:r>
            <w:r/>
          </w:p>
        </w:tc>
        <w:tc>
          <w:tcPr>
            <w:tcW w:w="5849" w:type="dxa"/>
            <w:vAlign w:val="center"/>
            <w:textDirection w:val="lrTb"/>
            <w:noWrap w:val="false"/>
          </w:tcPr>
          <w:p>
            <w:pPr>
              <w:pStyle w:val="1030"/>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(税务、银行或社会保险基金管理部门出具的近三个月内任意一个月缴纳职工社会保障资金的缴款凭证或缴款证明)（投标人依法享受缓缴、免缴的提供证明材料）</w:t>
            </w:r>
            <w:r>
              <w:rPr>
                <w:rFonts w:ascii="宋体" w:hAnsi="宋体"/>
                <w:iCs/>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3</w:t>
            </w:r>
            <w:r>
              <w:rPr>
                <w:rFonts w:ascii="宋体" w:hAnsi="宋体"/>
                <w:szCs w:val="21"/>
              </w:rPr>
            </w:r>
            <w:r/>
          </w:p>
        </w:tc>
        <w:tc>
          <w:tcPr>
            <w:tcW w:w="5849" w:type="dxa"/>
            <w:vAlign w:val="center"/>
            <w:textDirection w:val="lrTb"/>
            <w:noWrap w:val="false"/>
          </w:tcPr>
          <w:p>
            <w:pPr>
              <w:pStyle w:val="1030"/>
              <w:spacing w:line="360" w:lineRule="auto"/>
              <w:rPr>
                <w:rFonts w:ascii="宋体" w:hAnsi="宋体"/>
                <w:iCs/>
                <w:szCs w:val="21"/>
              </w:rPr>
            </w:pPr>
            <w:r>
              <w:rPr>
                <w:rFonts w:hint="eastAsia" w:ascii="宋体" w:hAnsi="宋体" w:cs="宋体"/>
                <w:szCs w:val="21"/>
              </w:rPr>
              <w:t xml:space="preserve">投标人近三个月内任意一份依法纳税的缴款凭证</w:t>
            </w:r>
            <w:r>
              <w:rPr>
                <w:rFonts w:hint="eastAsia" w:ascii="宋体" w:hAnsi="宋体" w:cs="宋体"/>
                <w:b/>
                <w:bCs/>
                <w:szCs w:val="21"/>
              </w:rPr>
              <w:t xml:space="preserve">（投标人依法享受缓缴、免缴的提供证明材料）</w:t>
            </w:r>
            <w:r>
              <w:rPr>
                <w:rFonts w:ascii="宋体" w:hAnsi="宋体"/>
                <w:iCs/>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4</w:t>
            </w:r>
            <w:r>
              <w:rPr>
                <w:rFonts w:ascii="宋体" w:hAnsi="宋体"/>
                <w:szCs w:val="21"/>
              </w:rPr>
            </w:r>
            <w:r/>
          </w:p>
        </w:tc>
        <w:tc>
          <w:tcPr>
            <w:tcW w:w="5849" w:type="dxa"/>
            <w:vAlign w:val="center"/>
            <w:textDirection w:val="lrTb"/>
            <w:noWrap w:val="false"/>
          </w:tcPr>
          <w:p>
            <w:pPr>
              <w:pStyle w:val="1030"/>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ascii="宋体" w:hAnsi="宋体"/>
                <w:iCs/>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537"/>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5</w:t>
            </w:r>
            <w:r>
              <w:rPr>
                <w:rFonts w:ascii="宋体" w:hAnsi="宋体"/>
                <w:szCs w:val="21"/>
              </w:rPr>
            </w:r>
            <w:r/>
          </w:p>
        </w:tc>
        <w:tc>
          <w:tcPr>
            <w:tcW w:w="5849" w:type="dxa"/>
            <w:vAlign w:val="center"/>
            <w:textDirection w:val="lrTb"/>
            <w:noWrap w:val="false"/>
          </w:tcPr>
          <w:p>
            <w:pPr>
              <w:pStyle w:val="1030"/>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6</w:t>
            </w:r>
            <w:r>
              <w:rPr>
                <w:rFonts w:ascii="宋体" w:hAnsi="宋体"/>
                <w:szCs w:val="21"/>
              </w:rPr>
            </w:r>
            <w:r/>
          </w:p>
        </w:tc>
        <w:tc>
          <w:tcPr>
            <w:tcW w:w="5849" w:type="dxa"/>
            <w:vAlign w:val="center"/>
            <w:textDirection w:val="lrTb"/>
            <w:noWrap w:val="false"/>
          </w:tcPr>
          <w:p>
            <w:pPr>
              <w:pStyle w:val="1030"/>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7</w:t>
            </w:r>
            <w:r>
              <w:rPr>
                <w:rFonts w:ascii="宋体" w:hAnsi="宋体"/>
                <w:szCs w:val="21"/>
              </w:rPr>
            </w:r>
            <w:r/>
          </w:p>
        </w:tc>
        <w:tc>
          <w:tcPr>
            <w:tcW w:w="5849" w:type="dxa"/>
            <w:vAlign w:val="center"/>
            <w:textDirection w:val="lrTb"/>
            <w:noWrap w:val="false"/>
          </w:tcPr>
          <w:p>
            <w:pPr>
              <w:pStyle w:val="1030"/>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469"/>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8</w:t>
            </w:r>
            <w:r>
              <w:rPr>
                <w:rFonts w:ascii="宋体" w:hAnsi="宋体"/>
                <w:szCs w:val="21"/>
              </w:rPr>
            </w:r>
            <w:r/>
          </w:p>
        </w:tc>
        <w:tc>
          <w:tcPr>
            <w:tcW w:w="5849" w:type="dxa"/>
            <w:vAlign w:val="center"/>
            <w:textDirection w:val="lrTb"/>
            <w:noWrap w:val="false"/>
          </w:tcPr>
          <w:p>
            <w:pPr>
              <w:pStyle w:val="1030"/>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401"/>
        </w:trPr>
        <w:tc>
          <w:tcPr>
            <w:gridSpan w:val="3"/>
            <w:tcW w:w="8251" w:type="dxa"/>
            <w:vAlign w:val="center"/>
            <w:textDirection w:val="lrTb"/>
            <w:noWrap w:val="false"/>
          </w:tcPr>
          <w:p>
            <w:pPr>
              <w:pStyle w:val="1030"/>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9</w:t>
            </w:r>
            <w:r>
              <w:rPr>
                <w:rFonts w:ascii="宋体" w:hAnsi="宋体"/>
                <w:szCs w:val="21"/>
              </w:rPr>
            </w:r>
            <w:r/>
          </w:p>
        </w:tc>
        <w:tc>
          <w:tcPr>
            <w:tcW w:w="5849" w:type="dxa"/>
            <w:vAlign w:val="center"/>
            <w:textDirection w:val="lrTb"/>
            <w:noWrap w:val="false"/>
          </w:tcPr>
          <w:p>
            <w:pPr>
              <w:pStyle w:val="1030"/>
              <w:spacing w:line="288" w:lineRule="auto"/>
              <w:rPr>
                <w:rFonts w:hint="eastAsia"/>
              </w:rPr>
            </w:pPr>
            <w:r>
              <w:rPr>
                <w:rFonts w:hint="eastAsia" w:ascii="宋体" w:hAnsi="宋体" w:cs="宋体"/>
                <w:szCs w:val="21"/>
              </w:rPr>
              <w:t xml:space="preserve">根据《政府采购促进中小企业发展管理办法》的规定，本项目对小型和微型企业、残疾人福利单位、监狱和戒毒企业提供的货物、服务给予20%的价格扣除。投标人必须提供招标文件中相应企业声明函，不符合要求或未提供的不给予价格扣除。</w:t>
            </w:r>
            <w:r>
              <w:rPr>
                <w:rFonts w:hint="eastAsia"/>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1030"/>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627"/>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10</w:t>
            </w:r>
            <w:r>
              <w:rPr>
                <w:rFonts w:ascii="宋体" w:hAnsi="宋体"/>
                <w:szCs w:val="21"/>
              </w:rPr>
            </w:r>
            <w:r/>
          </w:p>
        </w:tc>
        <w:tc>
          <w:tcPr>
            <w:tcW w:w="5849" w:type="dxa"/>
            <w:vAlign w:val="center"/>
            <w:textDirection w:val="lrTb"/>
            <w:noWrap w:val="false"/>
          </w:tcPr>
          <w:p>
            <w:pPr>
              <w:pStyle w:val="1030"/>
              <w:spacing w:line="288" w:lineRule="auto"/>
              <w:rPr>
                <w:rFonts w:hint="eastAsia" w:ascii="宋体" w:hAnsi="宋体"/>
                <w:iCs/>
                <w:szCs w:val="21"/>
              </w:rPr>
            </w:pPr>
            <w:r>
              <w:rPr>
                <w:rFonts w:hint="eastAsia" w:ascii="宋体" w:hAnsi="宋体"/>
                <w:iCs/>
                <w:szCs w:val="21"/>
              </w:rPr>
              <w:t xml:space="preserve">无</w:t>
            </w:r>
            <w:r>
              <w:rPr>
                <w:rFonts w:hint="eastAsia" w:ascii="宋体" w:hAnsi="宋体"/>
                <w:iCs/>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520"/>
        </w:trPr>
        <w:tc>
          <w:tcPr>
            <w:gridSpan w:val="3"/>
            <w:tcW w:w="8251" w:type="dxa"/>
            <w:vAlign w:val="center"/>
            <w:textDirection w:val="lrTb"/>
            <w:noWrap w:val="false"/>
          </w:tcPr>
          <w:p>
            <w:pPr>
              <w:pStyle w:val="1030"/>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11</w:t>
            </w:r>
            <w:r>
              <w:rPr>
                <w:rFonts w:ascii="宋体" w:hAnsi="宋体"/>
                <w:szCs w:val="21"/>
              </w:rPr>
            </w:r>
            <w:r/>
          </w:p>
        </w:tc>
        <w:tc>
          <w:tcPr>
            <w:tcW w:w="5849" w:type="dxa"/>
            <w:vAlign w:val="center"/>
            <w:textDirection w:val="lrTb"/>
            <w:noWrap w:val="false"/>
          </w:tcPr>
          <w:p>
            <w:pPr>
              <w:pStyle w:val="1030"/>
              <w:jc w:val="left"/>
              <w:spacing w:line="0" w:lineRule="atLeast"/>
              <w:rPr>
                <w:rFonts w:ascii="宋体" w:hAnsi="宋体"/>
                <w:iCs/>
                <w:szCs w:val="21"/>
              </w:rPr>
            </w:pPr>
            <w:r>
              <w:rPr>
                <w:rFonts w:hint="eastAsia" w:ascii="宋体" w:hAnsi="宋体"/>
                <w:iCs/>
                <w:szCs w:val="21"/>
              </w:rPr>
              <w:t xml:space="preserve">投标函</w:t>
            </w:r>
            <w:r>
              <w:rPr>
                <w:rFonts w:ascii="宋体" w:hAnsi="宋体"/>
                <w:iCs/>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12</w:t>
            </w:r>
            <w:r>
              <w:rPr>
                <w:rFonts w:ascii="宋体" w:hAnsi="宋体"/>
                <w:szCs w:val="21"/>
              </w:rPr>
            </w:r>
            <w:r/>
          </w:p>
        </w:tc>
        <w:tc>
          <w:tcPr>
            <w:tcW w:w="5849" w:type="dxa"/>
            <w:vAlign w:val="center"/>
            <w:textDirection w:val="lrTb"/>
            <w:noWrap w:val="false"/>
          </w:tcPr>
          <w:p>
            <w:pPr>
              <w:pStyle w:val="1030"/>
              <w:jc w:val="left"/>
              <w:spacing w:line="0" w:lineRule="atLeast"/>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1030"/>
              <w:jc w:val="center"/>
              <w:rPr>
                <w:rFonts w:hint="eastAsia" w:ascii="宋体" w:hAnsi="宋体"/>
                <w:szCs w:val="21"/>
              </w:rPr>
            </w:pPr>
            <w:r>
              <w:rPr>
                <w:rFonts w:hint="eastAsia" w:ascii="宋体" w:hAnsi="宋体"/>
                <w:szCs w:val="21"/>
              </w:rPr>
              <w:t xml:space="preserve">13</w:t>
            </w:r>
            <w:r>
              <w:rPr>
                <w:rFonts w:hint="eastAsia" w:ascii="宋体" w:hAnsi="宋体"/>
                <w:szCs w:val="21"/>
              </w:rPr>
            </w:r>
            <w:r/>
          </w:p>
        </w:tc>
        <w:tc>
          <w:tcPr>
            <w:tcW w:w="5849" w:type="dxa"/>
            <w:vAlign w:val="center"/>
            <w:textDirection w:val="lrTb"/>
            <w:noWrap w:val="false"/>
          </w:tcPr>
          <w:p>
            <w:pPr>
              <w:pStyle w:val="1030"/>
              <w:rPr>
                <w:rFonts w:ascii="宋体" w:hAnsi="宋体" w:cs="宋体"/>
                <w:szCs w:val="21"/>
              </w:rPr>
            </w:pPr>
            <w:r>
              <w:rPr>
                <w:rFonts w:hint="eastAsia" w:ascii="宋体" w:hAnsi="宋体" w:cs="宋体"/>
                <w:szCs w:val="21"/>
              </w:rPr>
              <w:t xml:space="preserve">1)若以联合体形式参加投标的，参加联合体的供应商均应当具备《中华人民共和国政府采购法》第二十二条规定的条件，并应当向采购人提交联合体协议，载明联合体各方承担的工作和义务。</w:t>
            </w:r>
            <w:r>
              <w:rPr>
                <w:rFonts w:ascii="宋体" w:hAnsi="宋体" w:cs="宋体"/>
                <w:szCs w:val="21"/>
              </w:rPr>
            </w:r>
            <w:r/>
          </w:p>
          <w:p>
            <w:pPr>
              <w:pStyle w:val="1030"/>
              <w:rPr>
                <w:rFonts w:ascii="宋体" w:hAnsi="宋体" w:cs="宋体"/>
                <w:szCs w:val="21"/>
              </w:rPr>
            </w:pPr>
            <w:r>
              <w:rPr>
                <w:rFonts w:hint="eastAsia" w:ascii="宋体" w:hAnsi="宋体" w:cs="宋体"/>
                <w:szCs w:val="21"/>
              </w:rPr>
              <w:t xml:space="preserve">(2)联合体各方必须指定一方作为联合体的牵头单位，授权其代表所有联合体成员负责投标和合同实施阶段的主办、协调工作，并应当向采购人提交由所有联合体成员法定代表人签署的授权书，联合体各成员与采购人之间的往来信函将通过牵头单位传递。</w:t>
            </w:r>
            <w:r>
              <w:rPr>
                <w:rFonts w:ascii="宋体" w:hAnsi="宋体" w:cs="宋体"/>
                <w:szCs w:val="21"/>
              </w:rPr>
            </w:r>
            <w:r/>
          </w:p>
          <w:p>
            <w:pPr>
              <w:pStyle w:val="1030"/>
              <w:jc w:val="left"/>
              <w:rPr>
                <w:rFonts w:hint="eastAsia" w:ascii="宋体" w:hAnsi="宋体"/>
                <w:iCs/>
                <w:szCs w:val="21"/>
              </w:rPr>
            </w:pPr>
            <w:r>
              <w:rPr>
                <w:rFonts w:hint="eastAsia" w:ascii="宋体" w:hAnsi="宋体" w:cs="宋体"/>
                <w:szCs w:val="21"/>
              </w:rPr>
              <w:t xml:space="preserve">(3)联合体各方应明确联合体主体单位，投标文件内容可由联合体主体单位加盖单位公章，并由其法定代表人或授权代表签字。</w:t>
            </w:r>
            <w:r>
              <w:rPr>
                <w:rFonts w:hint="eastAsia" w:ascii="宋体" w:hAnsi="宋体"/>
                <w:iCs/>
                <w:szCs w:val="21"/>
              </w:rPr>
            </w:r>
            <w:r/>
          </w:p>
        </w:tc>
        <w:tc>
          <w:tcPr>
            <w:tcW w:w="1756" w:type="dxa"/>
            <w:vAlign w:val="center"/>
            <w:textDirection w:val="lrTb"/>
            <w:noWrap w:val="false"/>
          </w:tcPr>
          <w:p>
            <w:pPr>
              <w:pStyle w:val="1030"/>
              <w:rPr>
                <w:rFonts w:ascii="宋体" w:hAnsi="宋体"/>
                <w:szCs w:val="21"/>
              </w:rPr>
            </w:pPr>
            <w:r>
              <w:rPr>
                <w:rFonts w:ascii="宋体" w:hAnsi="宋体"/>
                <w:szCs w:val="21"/>
              </w:rPr>
            </w:r>
            <w:r/>
          </w:p>
        </w:tc>
      </w:tr>
    </w:tbl>
    <w:p>
      <w:pPr>
        <w:pStyle w:val="1030"/>
        <w:ind w:firstLine="1476"/>
        <w:spacing w:line="360" w:lineRule="auto"/>
        <w:rPr>
          <w:rFonts w:hint="eastAsia" w:ascii="宋体" w:hAnsi="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rPr>
      </w:r>
      <w:r/>
    </w:p>
    <w:p>
      <w:pPr>
        <w:pStyle w:val="1030"/>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rPr>
          <w:rFonts w:ascii="宋体" w:hAnsi="宋体"/>
          <w:b/>
          <w:bCs/>
        </w:rPr>
      </w:r>
      <w:r/>
    </w:p>
    <w:p>
      <w:pPr>
        <w:pStyle w:val="1030"/>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1030"/>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1030"/>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contextualSpacing/>
        <w:spacing w:line="600" w:lineRule="exact"/>
        <w:rPr>
          <w:rFonts w:ascii="宋体" w:hAnsi="宋体"/>
          <w:b/>
          <w:sz w:val="36"/>
        </w:rPr>
      </w:pPr>
      <w:r>
        <w:rPr>
          <w:rFonts w:ascii="宋体" w:hAnsi="宋体"/>
          <w:b/>
          <w:sz w:val="36"/>
        </w:rPr>
      </w:r>
      <w:r/>
    </w:p>
    <w:p>
      <w:pPr>
        <w:pStyle w:val="1030"/>
        <w:jc w:val="center"/>
        <w:spacing w:line="360" w:lineRule="auto"/>
        <w:rPr>
          <w:rFonts w:ascii="宋体" w:hAnsi="宋体"/>
          <w:b/>
          <w:bCs/>
        </w:rPr>
      </w:pPr>
      <w:r>
        <w:rPr>
          <w:rFonts w:ascii="宋体" w:hAnsi="宋体"/>
          <w:b/>
          <w:bCs/>
        </w:rPr>
      </w:r>
      <w:r/>
    </w:p>
    <w:p>
      <w:pPr>
        <w:pStyle w:val="1030"/>
        <w:spacing w:line="360" w:lineRule="auto"/>
        <w:rPr>
          <w:rFonts w:hint="eastAsia" w:ascii="宋体" w:hAnsi="宋体"/>
          <w:b/>
          <w:bCs/>
        </w:rPr>
      </w:pPr>
      <w:r>
        <w:rPr>
          <w:rFonts w:hint="eastAsia" w:ascii="宋体" w:hAnsi="宋体"/>
          <w:b/>
          <w:bCs/>
        </w:rPr>
      </w:r>
      <w:r/>
    </w:p>
    <w:p>
      <w:pPr>
        <w:pStyle w:val="1030"/>
        <w:spacing w:line="360" w:lineRule="auto"/>
        <w:rPr>
          <w:rFonts w:hint="eastAsia" w:ascii="宋体" w:hAnsi="宋体"/>
          <w:b/>
          <w:bCs/>
        </w:rPr>
      </w:pPr>
      <w:r>
        <w:rPr>
          <w:rFonts w:hint="eastAsia" w:ascii="宋体" w:hAnsi="宋体"/>
          <w:b/>
          <w:bCs/>
        </w:rPr>
      </w:r>
      <w:r/>
    </w:p>
    <w:p>
      <w:pPr>
        <w:pStyle w:val="1030"/>
        <w:jc w:val="center"/>
        <w:spacing w:line="360" w:lineRule="auto"/>
        <w:rPr>
          <w:rFonts w:ascii="宋体" w:hAnsi="宋体"/>
          <w:b/>
          <w:bCs/>
        </w:rPr>
      </w:pPr>
      <w:r>
        <w:rPr>
          <w:rFonts w:hint="eastAsia" w:ascii="宋体" w:hAnsi="宋体"/>
          <w:b/>
          <w:bCs/>
        </w:rPr>
        <w:br w:type="page" w:clear="all"/>
      </w:r>
      <w:r>
        <w:rPr>
          <w:rFonts w:hint="eastAsia" w:ascii="宋体" w:hAnsi="宋体"/>
          <w:b/>
          <w:bCs/>
        </w:rPr>
        <w:t xml:space="preserve">参加本次政府采购活动前 3 年内在经营活动中没有重大违法记录的书面声明</w:t>
      </w:r>
      <w:r>
        <w:rPr>
          <w:rFonts w:ascii="宋体" w:hAnsi="宋体"/>
          <w:b/>
          <w:bCs/>
        </w:rPr>
      </w:r>
      <w:r/>
    </w:p>
    <w:p>
      <w:pPr>
        <w:pStyle w:val="1030"/>
        <w:spacing w:line="360" w:lineRule="auto"/>
        <w:rPr>
          <w:rFonts w:ascii="宋体" w:hAnsi="宋体"/>
        </w:rPr>
      </w:pPr>
      <w:r>
        <w:rPr>
          <w:rFonts w:ascii="宋体" w:hAnsi="宋体"/>
        </w:rPr>
      </w:r>
      <w:r/>
    </w:p>
    <w:p>
      <w:pPr>
        <w:pStyle w:val="1030"/>
        <w:jc w:val="center"/>
        <w:spacing w:line="360" w:lineRule="auto"/>
        <w:rPr>
          <w:rFonts w:ascii="宋体" w:hAnsi="宋体"/>
          <w:b/>
          <w:bCs/>
        </w:rPr>
      </w:pPr>
      <w:r>
        <w:rPr>
          <w:rFonts w:hint="eastAsia" w:ascii="宋体" w:hAnsi="宋体"/>
          <w:b/>
          <w:bCs/>
        </w:rPr>
        <w:t xml:space="preserve">声  明</w:t>
      </w:r>
      <w:r>
        <w:rPr>
          <w:rFonts w:ascii="宋体" w:hAnsi="宋体"/>
          <w:b/>
          <w:bCs/>
        </w:rPr>
      </w:r>
      <w:r/>
    </w:p>
    <w:p>
      <w:pPr>
        <w:pStyle w:val="1030"/>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1030"/>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1030"/>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1030"/>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1030"/>
        <w:jc w:val="center"/>
        <w:spacing w:line="360" w:lineRule="auto"/>
        <w:rPr>
          <w:rFonts w:ascii="宋体" w:hAnsi="宋体"/>
          <w:b/>
          <w:bCs/>
        </w:rPr>
      </w:pPr>
      <w:r>
        <w:rPr>
          <w:rFonts w:ascii="宋体" w:hAnsi="宋体"/>
          <w:b/>
          <w:bCs/>
        </w:rPr>
      </w:r>
      <w:r/>
    </w:p>
    <w:p>
      <w:pPr>
        <w:pStyle w:val="1030"/>
        <w:jc w:val="center"/>
        <w:spacing w:line="360" w:lineRule="auto"/>
        <w:rPr>
          <w:rFonts w:ascii="宋体" w:hAnsi="宋体"/>
          <w:b/>
          <w:bCs/>
        </w:rPr>
      </w:pPr>
      <w:r>
        <w:rPr>
          <w:rFonts w:ascii="宋体" w:hAnsi="宋体"/>
          <w:b/>
          <w:bCs/>
        </w:rPr>
      </w:r>
      <w:r/>
    </w:p>
    <w:p>
      <w:pPr>
        <w:pStyle w:val="1030"/>
        <w:jc w:val="center"/>
        <w:spacing w:line="360" w:lineRule="auto"/>
        <w:rPr>
          <w:rFonts w:ascii="宋体" w:hAnsi="宋体"/>
          <w:b/>
          <w:bCs/>
        </w:rPr>
      </w:pPr>
      <w:r>
        <w:rPr>
          <w:rFonts w:ascii="宋体" w:hAnsi="宋体"/>
          <w:b/>
          <w:bCs/>
        </w:rPr>
      </w:r>
      <w:r/>
    </w:p>
    <w:p>
      <w:pPr>
        <w:pStyle w:val="1030"/>
        <w:jc w:val="center"/>
        <w:spacing w:line="360" w:lineRule="auto"/>
        <w:rPr>
          <w:rFonts w:ascii="宋体" w:hAnsi="宋体"/>
          <w:b/>
          <w:bCs/>
        </w:rPr>
      </w:pPr>
      <w:r>
        <w:rPr>
          <w:rFonts w:ascii="宋体" w:hAnsi="宋体"/>
          <w:b/>
          <w:bCs/>
        </w:rPr>
      </w:r>
      <w:r/>
    </w:p>
    <w:p>
      <w:pPr>
        <w:pStyle w:val="1030"/>
        <w:jc w:val="center"/>
        <w:spacing w:line="360" w:lineRule="auto"/>
        <w:rPr>
          <w:rFonts w:ascii="宋体" w:hAnsi="宋体"/>
          <w:b/>
          <w:bCs/>
        </w:rPr>
      </w:pPr>
      <w:r>
        <w:rPr>
          <w:rFonts w:ascii="宋体" w:hAnsi="宋体"/>
          <w:b/>
          <w:bCs/>
        </w:rPr>
      </w:r>
      <w:r/>
    </w:p>
    <w:p>
      <w:pPr>
        <w:pStyle w:val="1030"/>
        <w:jc w:val="center"/>
        <w:spacing w:line="360" w:lineRule="auto"/>
        <w:rPr>
          <w:rFonts w:ascii="宋体" w:hAnsi="宋体"/>
          <w:b/>
          <w:bCs/>
        </w:rPr>
      </w:pPr>
      <w:r>
        <w:rPr>
          <w:rFonts w:ascii="宋体" w:hAnsi="宋体"/>
          <w:b/>
          <w:bCs/>
        </w:rPr>
      </w:r>
      <w:r/>
    </w:p>
    <w:p>
      <w:pPr>
        <w:pStyle w:val="1030"/>
        <w:jc w:val="center"/>
        <w:spacing w:line="500" w:lineRule="exact"/>
        <w:rPr>
          <w:rFonts w:ascii="方正仿宋_GBK"/>
          <w:szCs w:val="32"/>
        </w:rPr>
      </w:pPr>
      <w:r>
        <w:rPr>
          <w:rFonts w:hint="eastAsia" w:ascii="宋体" w:hAnsi="宋体"/>
          <w:b/>
          <w:bCs/>
        </w:rPr>
        <w:br w:type="page" w:clear="all"/>
      </w:r>
      <w:r>
        <w:rPr>
          <w:rFonts w:hint="eastAsia" w:ascii="宋体" w:hAnsi="宋体"/>
          <w:b/>
          <w:szCs w:val="21"/>
        </w:rPr>
        <w:t xml:space="preserve">供应商信用承诺书</w:t>
      </w:r>
      <w:r>
        <w:rPr>
          <w:rFonts w:ascii="方正仿宋_GBK"/>
          <w:szCs w:val="32"/>
        </w:rPr>
      </w:r>
      <w:r/>
    </w:p>
    <w:p>
      <w:pPr>
        <w:pStyle w:val="1030"/>
        <w:spacing w:line="432"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1030"/>
        <w:spacing w:line="432"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1030"/>
        <w:ind w:firstLine="420"/>
        <w:spacing w:line="432"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1030"/>
        <w:jc w:val="center"/>
        <w:spacing w:line="432"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1030"/>
        <w:jc w:val="center"/>
        <w:spacing w:line="432"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1030"/>
        <w:jc w:val="center"/>
        <w:spacing w:line="432" w:lineRule="auto"/>
        <w:rPr>
          <w:rFonts w:ascii="宋体" w:hAnsi="宋体"/>
          <w:szCs w:val="21"/>
        </w:rPr>
      </w:pPr>
      <w:r>
        <w:rPr>
          <w:rFonts w:hint="eastAsia" w:ascii="宋体" w:hAnsi="宋体"/>
          <w:szCs w:val="21"/>
        </w:rPr>
        <w:t xml:space="preserve">　　　　　　　　　      　年    月    日</w:t>
      </w:r>
      <w:r>
        <w:rPr>
          <w:rFonts w:ascii="宋体" w:hAnsi="宋体"/>
          <w:szCs w:val="21"/>
        </w:rPr>
      </w:r>
      <w:r/>
    </w:p>
    <w:p>
      <w:pPr>
        <w:pStyle w:val="1030"/>
        <w:jc w:val="center"/>
        <w:spacing w:line="500" w:lineRule="exact"/>
        <w:rPr>
          <w:rFonts w:ascii="宋体" w:hAnsi="宋体" w:cs="宋体"/>
          <w:szCs w:val="21"/>
        </w:rPr>
      </w:pPr>
      <w:r>
        <w:rPr>
          <w:rFonts w:ascii="宋体" w:hAnsi="宋体" w:cs="宋体"/>
          <w:szCs w:val="21"/>
        </w:rPr>
      </w:r>
      <w:r/>
    </w:p>
    <w:p>
      <w:pPr>
        <w:pStyle w:val="1030"/>
        <w:jc w:val="center"/>
        <w:spacing w:line="360" w:lineRule="auto"/>
        <w:rPr>
          <w:rFonts w:ascii="宋体" w:hAnsi="宋体"/>
          <w:b/>
          <w:bCs/>
        </w:rPr>
      </w:pPr>
      <w:r>
        <w:rPr>
          <w:rFonts w:ascii="宋体" w:hAnsi="宋体"/>
          <w:b/>
          <w:bCs/>
        </w:rPr>
      </w:r>
      <w:r/>
    </w:p>
    <w:p>
      <w:pPr>
        <w:pStyle w:val="1030"/>
        <w:spacing w:line="360" w:lineRule="auto"/>
        <w:rPr>
          <w:rFonts w:ascii="宋体" w:hAnsi="宋体"/>
          <w:b/>
          <w:bCs/>
        </w:rPr>
      </w:pPr>
      <w:r>
        <w:rPr>
          <w:rFonts w:ascii="宋体" w:hAnsi="宋体"/>
          <w:b/>
          <w:bCs/>
        </w:rPr>
      </w:r>
      <w:r/>
    </w:p>
    <w:p>
      <w:pPr>
        <w:pStyle w:val="1030"/>
        <w:jc w:val="center"/>
        <w:spacing w:line="360" w:lineRule="auto"/>
        <w:rPr>
          <w:rFonts w:ascii="宋体" w:hAnsi="宋体"/>
          <w:b/>
          <w:bCs/>
        </w:rPr>
      </w:pPr>
      <w:r>
        <w:rPr>
          <w:rFonts w:hint="eastAsia" w:ascii="宋体" w:hAnsi="宋体"/>
          <w:b/>
          <w:bCs/>
        </w:rPr>
        <w:t xml:space="preserve">投标函格式</w:t>
      </w:r>
      <w:r>
        <w:rPr>
          <w:rFonts w:ascii="宋体" w:hAnsi="宋体"/>
          <w:b/>
          <w:bCs/>
        </w:rPr>
      </w:r>
      <w:r/>
    </w:p>
    <w:p>
      <w:pPr>
        <w:pStyle w:val="1182"/>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江苏时代投资咨询有限公司</w:t>
      </w:r>
      <w:r>
        <w:rPr>
          <w:rFonts w:hint="eastAsia" w:ascii="宋体" w:hAnsi="宋体"/>
          <w:sz w:val="21"/>
          <w:szCs w:val="21"/>
        </w:rPr>
      </w:r>
      <w:r/>
    </w:p>
    <w:p>
      <w:pPr>
        <w:pStyle w:val="1182"/>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rPr>
          <w:rFonts w:ascii="宋体" w:hAnsi="宋体"/>
          <w:sz w:val="21"/>
          <w:szCs w:val="21"/>
        </w:rPr>
      </w:r>
      <w:r/>
    </w:p>
    <w:p>
      <w:pPr>
        <w:pStyle w:val="1182"/>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1182"/>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1182"/>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1182"/>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1182"/>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1182"/>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1182"/>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1182"/>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1182"/>
        <w:ind w:firstLine="478"/>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1182"/>
        <w:ind w:firstLine="478"/>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1182"/>
        <w:ind w:firstLine="478"/>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1182"/>
        <w:ind w:firstLine="478"/>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1182"/>
        <w:ind w:firstLine="478"/>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1182"/>
        <w:ind w:firstLine="478"/>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1182"/>
        <w:ind w:firstLine="478"/>
        <w:spacing w:before="0" w:after="0"/>
        <w:rPr>
          <w:rFonts w:hint="eastAsia" w:ascii="宋体" w:hAnsi="宋体"/>
          <w:sz w:val="21"/>
          <w:szCs w:val="21"/>
        </w:rPr>
      </w:pPr>
      <w:r>
        <w:rPr>
          <w:rFonts w:hint="eastAsia" w:ascii="宋体" w:hAnsi="宋体"/>
          <w:sz w:val="21"/>
          <w:szCs w:val="21"/>
        </w:rPr>
        <w:t xml:space="preserve">行 号：</w:t>
      </w:r>
      <w:r>
        <w:rPr>
          <w:rFonts w:hint="eastAsia" w:ascii="宋体" w:hAnsi="宋体"/>
          <w:sz w:val="21"/>
          <w:szCs w:val="21"/>
        </w:rPr>
      </w:r>
      <w:r/>
    </w:p>
    <w:p>
      <w:pPr>
        <w:pStyle w:val="1182"/>
        <w:ind w:firstLine="478"/>
        <w:spacing w:before="0" w:after="0"/>
        <w:rPr>
          <w:rFonts w:hint="eastAsia" w:ascii="宋体" w:hAnsi="宋体"/>
          <w:sz w:val="21"/>
          <w:szCs w:val="21"/>
        </w:rPr>
      </w:pPr>
      <w:r>
        <w:rPr>
          <w:rFonts w:hint="eastAsia" w:ascii="宋体" w:hAnsi="宋体"/>
          <w:sz w:val="21"/>
          <w:szCs w:val="21"/>
        </w:rPr>
        <w:t xml:space="preserve">供应商名称（公章）：  </w:t>
      </w:r>
      <w:r>
        <w:rPr>
          <w:rFonts w:hint="eastAsia" w:ascii="宋体" w:hAnsi="宋体"/>
          <w:sz w:val="21"/>
          <w:szCs w:val="21"/>
        </w:rPr>
      </w:r>
      <w:r/>
    </w:p>
    <w:p>
      <w:pPr>
        <w:pStyle w:val="1182"/>
        <w:ind w:firstLine="478"/>
        <w:spacing w:before="0" w:after="0"/>
        <w:rPr>
          <w:rFonts w:hint="eastAsia" w:ascii="宋体" w:hAnsi="宋体"/>
          <w:sz w:val="21"/>
          <w:szCs w:val="21"/>
        </w:rPr>
      </w:pPr>
      <w:r>
        <w:rPr>
          <w:rFonts w:hint="eastAsia" w:ascii="宋体" w:hAnsi="宋体"/>
          <w:sz w:val="21"/>
          <w:szCs w:val="21"/>
        </w:rPr>
        <w:t xml:space="preserve">法定代表人姓名（签章）： </w:t>
      </w:r>
      <w:r>
        <w:rPr>
          <w:rFonts w:hint="eastAsia" w:ascii="宋体" w:hAnsi="宋体"/>
          <w:sz w:val="21"/>
          <w:szCs w:val="21"/>
        </w:rPr>
      </w:r>
      <w:r/>
    </w:p>
    <w:p>
      <w:pPr>
        <w:pStyle w:val="1182"/>
        <w:ind w:firstLine="478"/>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1030"/>
        <w:contextualSpacing/>
        <w:spacing w:line="600" w:lineRule="exact"/>
        <w:rPr>
          <w:rFonts w:ascii="宋体" w:hAnsi="宋体"/>
          <w:b/>
          <w:bCs/>
          <w:sz w:val="32"/>
          <w:szCs w:val="32"/>
        </w:rPr>
      </w:pPr>
      <w:r>
        <w:rPr>
          <w:rFonts w:ascii="宋体" w:hAnsi="宋体"/>
          <w:b/>
          <w:bCs/>
          <w:sz w:val="32"/>
          <w:szCs w:val="32"/>
        </w:rPr>
      </w:r>
      <w:r/>
    </w:p>
    <w:p>
      <w:pPr>
        <w:pStyle w:val="1030"/>
        <w:rPr>
          <w:rFonts w:ascii="宋体" w:hAnsi="宋体"/>
          <w:b/>
          <w:sz w:val="32"/>
          <w:szCs w:val="32"/>
        </w:rPr>
      </w:pPr>
      <w:r>
        <w:rPr>
          <w:rFonts w:hint="eastAsia" w:ascii="宋体" w:hAnsi="宋体"/>
          <w:b/>
          <w:sz w:val="32"/>
          <w:szCs w:val="32"/>
        </w:rPr>
        <w:br w:type="page" w:clear="all"/>
      </w:r>
      <w:r>
        <w:rPr>
          <w:rFonts w:ascii="宋体" w:hAnsi="宋体"/>
          <w:b/>
          <w:sz w:val="32"/>
          <w:szCs w:val="32"/>
        </w:rPr>
      </w:r>
      <w:r/>
    </w:p>
    <w:p>
      <w:pPr>
        <w:pStyle w:val="1163"/>
        <w:ind w:firstLine="422"/>
        <w:jc w:val="center"/>
        <w:spacing w:line="360" w:lineRule="auto"/>
        <w:tabs>
          <w:tab w:val="left" w:pos="360" w:leader="none"/>
        </w:tabs>
        <w:rPr>
          <w:rFonts w:ascii="宋体" w:hAnsi="宋体"/>
          <w:b/>
          <w:sz w:val="21"/>
          <w:szCs w:val="21"/>
        </w:rPr>
      </w:pPr>
      <w:r>
        <w:rPr>
          <w:rFonts w:hint="eastAsia" w:ascii="宋体" w:hAnsi="宋体"/>
          <w:b/>
          <w:sz w:val="21"/>
          <w:szCs w:val="21"/>
        </w:rPr>
        <w:t xml:space="preserve">法人授权书</w:t>
      </w:r>
      <w:r>
        <w:rPr>
          <w:rFonts w:ascii="宋体" w:hAnsi="宋体"/>
          <w:b/>
          <w:sz w:val="21"/>
          <w:szCs w:val="21"/>
        </w:rPr>
      </w:r>
      <w:r/>
    </w:p>
    <w:p>
      <w:pPr>
        <w:pStyle w:val="1163"/>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1163"/>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1163"/>
        <w:ind w:firstLine="420"/>
        <w:spacing w:line="360" w:lineRule="auto"/>
        <w:tabs>
          <w:tab w:val="left" w:pos="360" w:leader="none"/>
        </w:tabs>
        <w:rPr>
          <w:rFonts w:ascii="宋体" w:hAnsi="宋体"/>
          <w:sz w:val="21"/>
          <w:szCs w:val="21"/>
        </w:rPr>
      </w:pPr>
      <w:r>
        <w:rPr>
          <w:rFonts w:ascii="宋体" w:hAnsi="宋体"/>
          <w:sz w:val="21"/>
          <w:szCs w:val="21"/>
        </w:rPr>
        <w:t xml:space="preserve">    </w:t>
      </w:r>
      <w:r>
        <w:rPr>
          <w:rFonts w:ascii="宋体" w:hAnsi="宋体"/>
          <w:sz w:val="21"/>
          <w:szCs w:val="21"/>
        </w:rPr>
      </w:r>
      <w:r/>
    </w:p>
    <w:p>
      <w:pPr>
        <w:pStyle w:val="1163"/>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rPr>
          <w:rFonts w:ascii="宋体" w:hAnsi="宋体"/>
          <w:sz w:val="21"/>
          <w:szCs w:val="21"/>
        </w:rPr>
      </w:r>
      <w:r/>
    </w:p>
    <w:p>
      <w:pPr>
        <w:pStyle w:val="1163"/>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1163"/>
        <w:ind w:firstLine="420"/>
        <w:spacing w:line="360" w:lineRule="auto"/>
        <w:tabs>
          <w:tab w:val="left" w:pos="360" w:leader="none"/>
        </w:tabs>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1163"/>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1163"/>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1030"/>
        <w:spacing w:line="460" w:lineRule="exact"/>
        <w:rPr>
          <w:rFonts w:ascii="宋体" w:hAnsi="宋体"/>
          <w:bCs/>
        </w:rPr>
      </w:pPr>
      <w:r>
        <w:rPr>
          <w:rFonts w:ascii="宋体" w:hAnsi="宋体"/>
          <w:bCs/>
        </w:rPr>
      </w:r>
      <w:r/>
    </w:p>
    <w:p>
      <w:pPr>
        <w:pStyle w:val="1030"/>
        <w:spacing w:line="460" w:lineRule="exact"/>
        <w:rPr>
          <w:rFonts w:ascii="宋体" w:hAnsi="宋体"/>
          <w:bCs/>
          <w:sz w:val="24"/>
        </w:rPr>
      </w:pPr>
      <w:r>
        <w:rPr>
          <w:rFonts w:ascii="宋体" w:hAnsi="宋体"/>
          <w:bCs/>
          <w:sz w:val="24"/>
        </w:rPr>
      </w:r>
      <w:r/>
    </w:p>
    <w:p>
      <w:pPr>
        <w:pStyle w:val="1030"/>
        <w:ind w:firstLine="420"/>
        <w:spacing w:line="460" w:lineRule="exact"/>
        <w:rPr>
          <w:rFonts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rPr>
          <w:rFonts w:ascii="宋体" w:hAnsi="宋体"/>
          <w:bCs/>
        </w:rPr>
      </w:r>
      <w:r/>
    </w:p>
    <w:p>
      <w:pPr>
        <w:pStyle w:val="1032"/>
        <w:numPr>
          <w:ilvl w:val="0"/>
          <w:numId w:val="0"/>
        </w:numPr>
        <w:jc w:val="center"/>
        <w:rPr>
          <w:rFonts w:ascii="宋体" w:hAnsi="宋体"/>
          <w:sz w:val="32"/>
        </w:rPr>
      </w:pPr>
      <w:r>
        <w:rPr>
          <w:rFonts w:hint="eastAsia" w:ascii="宋体" w:hAnsi="宋体"/>
          <w:sz w:val="32"/>
        </w:rPr>
        <w:t xml:space="preserve">二、符合性审查响应对照表</w:t>
      </w:r>
      <w:r>
        <w:rPr>
          <w:rFonts w:ascii="宋体" w:hAnsi="宋体"/>
          <w:sz w:val="32"/>
        </w:rPr>
      </w:r>
      <w:r/>
    </w:p>
    <w:p>
      <w:pPr>
        <w:pStyle w:val="1030"/>
        <w:rPr>
          <w:rFonts w:ascii="宋体" w:hAnsi="宋体"/>
          <w:b/>
          <w:sz w:val="32"/>
          <w:szCs w:val="32"/>
        </w:rPr>
      </w:pPr>
      <w:r>
        <w:rPr>
          <w:rFonts w:ascii="宋体" w:hAnsi="宋体"/>
          <w:b/>
          <w:sz w:val="32"/>
          <w:szCs w:val="32"/>
        </w:rPr>
      </w:r>
      <w:r/>
    </w:p>
    <w:tbl>
      <w:tblPr>
        <w:tblW w:w="88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105"/>
      </w:tblGrid>
      <w:tr>
        <w:trPr>
          <w:trHeight w:val="882"/>
        </w:trPr>
        <w:tc>
          <w:tcPr>
            <w:tcW w:w="646" w:type="dxa"/>
            <w:vAlign w:val="center"/>
            <w:textDirection w:val="lrTb"/>
            <w:noWrap w:val="false"/>
          </w:tcPr>
          <w:p>
            <w:pPr>
              <w:pStyle w:val="1030"/>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1030"/>
              <w:jc w:val="center"/>
              <w:spacing w:line="240" w:lineRule="atLeast"/>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1030"/>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1030"/>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105" w:type="dxa"/>
            <w:vAlign w:val="center"/>
            <w:textDirection w:val="lrTb"/>
            <w:noWrap w:val="false"/>
          </w:tcPr>
          <w:p>
            <w:pPr>
              <w:pStyle w:val="1030"/>
              <w:jc w:val="center"/>
              <w:spacing w:line="240" w:lineRule="atLeast"/>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1030"/>
              <w:jc w:val="center"/>
              <w:rPr>
                <w:rFonts w:ascii="宋体" w:hAnsi="宋体"/>
                <w:b/>
                <w:szCs w:val="21"/>
              </w:rPr>
            </w:pPr>
            <w:r>
              <w:rPr>
                <w:rFonts w:hint="eastAsia" w:ascii="宋体" w:hAnsi="宋体"/>
                <w:bCs/>
                <w:szCs w:val="21"/>
              </w:rPr>
              <w:t xml:space="preserve">1</w:t>
            </w:r>
            <w:r>
              <w:rPr>
                <w:rFonts w:ascii="宋体" w:hAnsi="宋体"/>
                <w:b/>
                <w:szCs w:val="21"/>
              </w:rPr>
            </w:r>
            <w:r/>
          </w:p>
        </w:tc>
        <w:tc>
          <w:tcPr>
            <w:tcW w:w="5447" w:type="dxa"/>
            <w:vAlign w:val="center"/>
            <w:textDirection w:val="lrTb"/>
            <w:noWrap w:val="false"/>
          </w:tcPr>
          <w:p>
            <w:pPr>
              <w:pStyle w:val="1030"/>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1030"/>
              <w:rPr>
                <w:rFonts w:ascii="宋体" w:hAnsi="宋体"/>
                <w:b/>
                <w:szCs w:val="21"/>
              </w:rPr>
            </w:pPr>
            <w:r>
              <w:rPr>
                <w:rFonts w:ascii="宋体" w:hAnsi="宋体"/>
                <w:b/>
                <w:szCs w:val="21"/>
              </w:rPr>
            </w:r>
            <w:r/>
          </w:p>
        </w:tc>
        <w:tc>
          <w:tcPr>
            <w:tcW w:w="1105" w:type="dxa"/>
            <w:vAlign w:val="center"/>
            <w:textDirection w:val="lrTb"/>
            <w:noWrap w:val="false"/>
          </w:tcPr>
          <w:p>
            <w:pPr>
              <w:pStyle w:val="1030"/>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030"/>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1030"/>
              <w:rPr>
                <w:rFonts w:ascii="宋体" w:hAnsi="宋体"/>
                <w:szCs w:val="21"/>
              </w:rPr>
            </w:pPr>
            <w:r>
              <w:rPr>
                <w:rFonts w:ascii="宋体" w:hAnsi="宋体"/>
                <w:szCs w:val="21"/>
              </w:rPr>
            </w:r>
            <w:r/>
          </w:p>
        </w:tc>
        <w:tc>
          <w:tcPr>
            <w:tcW w:w="1105" w:type="dxa"/>
            <w:vAlign w:val="center"/>
            <w:textDirection w:val="lrTb"/>
            <w:noWrap w:val="false"/>
          </w:tcPr>
          <w:p>
            <w:pPr>
              <w:pStyle w:val="1030"/>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030"/>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1030"/>
              <w:rPr>
                <w:rFonts w:ascii="宋体" w:hAnsi="宋体"/>
                <w:szCs w:val="21"/>
              </w:rPr>
            </w:pPr>
            <w:r>
              <w:rPr>
                <w:rFonts w:ascii="宋体" w:hAnsi="宋体"/>
                <w:szCs w:val="21"/>
              </w:rPr>
            </w:r>
            <w:r/>
          </w:p>
        </w:tc>
        <w:tc>
          <w:tcPr>
            <w:tcW w:w="1105" w:type="dxa"/>
            <w:vAlign w:val="center"/>
            <w:textDirection w:val="lrTb"/>
            <w:noWrap w:val="false"/>
          </w:tcPr>
          <w:p>
            <w:pPr>
              <w:pStyle w:val="1030"/>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1030"/>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1030"/>
              <w:rPr>
                <w:rFonts w:ascii="宋体" w:hAnsi="宋体"/>
                <w:szCs w:val="21"/>
              </w:rPr>
            </w:pPr>
            <w:r>
              <w:rPr>
                <w:rFonts w:ascii="宋体" w:hAnsi="宋体"/>
                <w:szCs w:val="21"/>
              </w:rPr>
            </w:r>
            <w:r/>
          </w:p>
        </w:tc>
        <w:tc>
          <w:tcPr>
            <w:tcW w:w="1105" w:type="dxa"/>
            <w:vAlign w:val="center"/>
            <w:textDirection w:val="lrTb"/>
            <w:noWrap w:val="false"/>
          </w:tcPr>
          <w:p>
            <w:pPr>
              <w:pStyle w:val="103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30"/>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1030"/>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030"/>
              <w:rPr>
                <w:rFonts w:ascii="宋体" w:hAnsi="宋体"/>
                <w:szCs w:val="21"/>
              </w:rPr>
            </w:pPr>
            <w:r>
              <w:rPr>
                <w:rFonts w:ascii="宋体" w:hAnsi="宋体"/>
                <w:szCs w:val="21"/>
              </w:rPr>
            </w:r>
            <w:r/>
          </w:p>
        </w:tc>
        <w:tc>
          <w:tcPr>
            <w:tcW w:w="1105" w:type="dxa"/>
            <w:vAlign w:val="center"/>
            <w:textDirection w:val="lrTb"/>
            <w:noWrap w:val="false"/>
          </w:tcPr>
          <w:p>
            <w:pPr>
              <w:pStyle w:val="1030"/>
              <w:rPr>
                <w:rFonts w:ascii="宋体" w:hAnsi="宋体"/>
                <w:szCs w:val="21"/>
              </w:rPr>
            </w:pPr>
            <w:r>
              <w:rPr>
                <w:rFonts w:ascii="宋体" w:hAnsi="宋体"/>
                <w:szCs w:val="21"/>
              </w:rPr>
            </w:r>
            <w:r/>
          </w:p>
        </w:tc>
      </w:tr>
    </w:tbl>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spacing w:line="600" w:lineRule="exact"/>
        <w:rPr>
          <w:rFonts w:ascii="宋体" w:hAnsi="宋体"/>
          <w:b/>
          <w:bCs/>
          <w:sz w:val="32"/>
          <w:szCs w:val="32"/>
        </w:rPr>
      </w:pPr>
      <w:r>
        <w:rPr>
          <w:rFonts w:ascii="宋体" w:hAnsi="宋体"/>
          <w:b/>
          <w:bCs/>
          <w:sz w:val="32"/>
          <w:szCs w:val="32"/>
        </w:rPr>
      </w:r>
      <w:r/>
    </w:p>
    <w:p>
      <w:pPr>
        <w:pStyle w:val="1032"/>
        <w:numPr>
          <w:ilvl w:val="0"/>
          <w:numId w:val="0"/>
        </w:numPr>
        <w:ind w:left="284"/>
        <w:jc w:val="center"/>
        <w:rPr>
          <w:rFonts w:ascii="宋体" w:hAnsi="宋体"/>
          <w:sz w:val="32"/>
        </w:rPr>
      </w:pPr>
      <w:r>
        <w:rPr>
          <w:rFonts w:hint="eastAsia" w:ascii="宋体" w:hAnsi="宋体"/>
          <w:sz w:val="32"/>
        </w:rPr>
        <w:t xml:space="preserve">三、非实质性响应对照表</w:t>
      </w:r>
      <w:r>
        <w:rPr>
          <w:rFonts w:ascii="宋体" w:hAnsi="宋体"/>
          <w:sz w:val="32"/>
        </w:rPr>
      </w:r>
      <w:r/>
    </w:p>
    <w:p>
      <w:pPr>
        <w:pStyle w:val="1030"/>
        <w:rPr>
          <w:rFonts w:ascii="宋体" w:hAnsi="宋体"/>
          <w:b/>
          <w:sz w:val="32"/>
          <w:szCs w:val="32"/>
        </w:rPr>
      </w:pPr>
      <w:r>
        <w:rPr>
          <w:rFonts w:ascii="宋体" w:hAnsi="宋体"/>
          <w:b/>
          <w:sz w:val="32"/>
          <w:szCs w:val="32"/>
        </w:rPr>
      </w:r>
      <w:r/>
    </w:p>
    <w:tbl>
      <w:tblPr>
        <w:tblW w:w="88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047"/>
      </w:tblGrid>
      <w:tr>
        <w:trPr>
          <w:trHeight w:val="882"/>
        </w:trPr>
        <w:tc>
          <w:tcPr>
            <w:tcW w:w="646" w:type="dxa"/>
            <w:vAlign w:val="center"/>
            <w:textDirection w:val="lrTb"/>
            <w:noWrap w:val="false"/>
          </w:tcPr>
          <w:p>
            <w:pPr>
              <w:pStyle w:val="1030"/>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1030"/>
              <w:jc w:val="center"/>
              <w:spacing w:line="240" w:lineRule="atLeast"/>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1030"/>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1030"/>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047" w:type="dxa"/>
            <w:vAlign w:val="center"/>
            <w:textDirection w:val="lrTb"/>
            <w:noWrap w:val="false"/>
          </w:tcPr>
          <w:p>
            <w:pPr>
              <w:pStyle w:val="1030"/>
              <w:jc w:val="center"/>
              <w:spacing w:line="240" w:lineRule="atLeast"/>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1030"/>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5447" w:type="dxa"/>
            <w:vAlign w:val="center"/>
            <w:textDirection w:val="lrTb"/>
            <w:noWrap w:val="false"/>
          </w:tcPr>
          <w:p>
            <w:pPr>
              <w:pStyle w:val="1030"/>
              <w:spacing w:line="0" w:lineRule="atLeast"/>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1030"/>
              <w:rPr>
                <w:rFonts w:ascii="宋体" w:hAnsi="宋体"/>
                <w:szCs w:val="21"/>
              </w:rPr>
            </w:pPr>
            <w:r>
              <w:rPr>
                <w:rFonts w:ascii="宋体" w:hAnsi="宋体"/>
                <w:szCs w:val="21"/>
              </w:rPr>
            </w:r>
            <w:r/>
          </w:p>
        </w:tc>
        <w:tc>
          <w:tcPr>
            <w:tcW w:w="1047" w:type="dxa"/>
            <w:vAlign w:val="center"/>
            <w:textDirection w:val="lrTb"/>
            <w:noWrap w:val="false"/>
          </w:tcPr>
          <w:p>
            <w:pPr>
              <w:pStyle w:val="1030"/>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30"/>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5447" w:type="dxa"/>
            <w:vAlign w:val="center"/>
            <w:textDirection w:val="lrTb"/>
            <w:noWrap w:val="false"/>
          </w:tcPr>
          <w:p>
            <w:pPr>
              <w:pStyle w:val="1030"/>
              <w:spacing w:line="0" w:lineRule="atLeast"/>
              <w:rPr>
                <w:rFonts w:hint="eastAsia" w:ascii="宋体" w:hAnsi="宋体"/>
                <w:szCs w:val="21"/>
              </w:rPr>
            </w:pPr>
            <w:r>
              <w:rPr>
                <w:rFonts w:hint="eastAsia" w:ascii="宋体" w:hAnsi="宋体"/>
                <w:szCs w:val="21"/>
              </w:rPr>
              <w:t xml:space="preserve">《残疾人福利性单位声明函》</w:t>
            </w:r>
            <w:r>
              <w:rPr>
                <w:rFonts w:hint="eastAsia" w:ascii="宋体" w:hAnsi="宋体"/>
                <w:szCs w:val="21"/>
              </w:rPr>
            </w:r>
            <w:r/>
          </w:p>
        </w:tc>
        <w:tc>
          <w:tcPr>
            <w:tcW w:w="1680" w:type="dxa"/>
            <w:vAlign w:val="center"/>
            <w:textDirection w:val="lrTb"/>
            <w:noWrap w:val="false"/>
          </w:tcPr>
          <w:p>
            <w:pPr>
              <w:pStyle w:val="1030"/>
              <w:rPr>
                <w:rFonts w:ascii="宋体" w:hAnsi="宋体"/>
                <w:szCs w:val="21"/>
              </w:rPr>
            </w:pPr>
            <w:r>
              <w:rPr>
                <w:rFonts w:ascii="宋体" w:hAnsi="宋体"/>
                <w:szCs w:val="21"/>
              </w:rPr>
            </w:r>
            <w:r/>
          </w:p>
        </w:tc>
        <w:tc>
          <w:tcPr>
            <w:tcW w:w="1047" w:type="dxa"/>
            <w:vAlign w:val="center"/>
            <w:textDirection w:val="lrTb"/>
            <w:noWrap w:val="false"/>
          </w:tcPr>
          <w:p>
            <w:pPr>
              <w:pStyle w:val="103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30"/>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5447" w:type="dxa"/>
            <w:vAlign w:val="center"/>
            <w:textDirection w:val="lrTb"/>
            <w:noWrap w:val="false"/>
          </w:tcPr>
          <w:p>
            <w:pPr>
              <w:pStyle w:val="1030"/>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030"/>
              <w:rPr>
                <w:rFonts w:ascii="宋体" w:hAnsi="宋体"/>
                <w:szCs w:val="21"/>
              </w:rPr>
            </w:pPr>
            <w:r>
              <w:rPr>
                <w:rFonts w:ascii="宋体" w:hAnsi="宋体"/>
                <w:szCs w:val="21"/>
              </w:rPr>
            </w:r>
            <w:r/>
          </w:p>
        </w:tc>
        <w:tc>
          <w:tcPr>
            <w:tcW w:w="1047" w:type="dxa"/>
            <w:vAlign w:val="center"/>
            <w:textDirection w:val="lrTb"/>
            <w:noWrap w:val="false"/>
          </w:tcPr>
          <w:p>
            <w:pPr>
              <w:pStyle w:val="1030"/>
              <w:rPr>
                <w:rFonts w:ascii="宋体" w:hAnsi="宋体"/>
                <w:szCs w:val="21"/>
              </w:rPr>
            </w:pPr>
            <w:r>
              <w:rPr>
                <w:rFonts w:ascii="宋体" w:hAnsi="宋体"/>
                <w:szCs w:val="21"/>
              </w:rPr>
            </w:r>
            <w:r/>
          </w:p>
        </w:tc>
      </w:tr>
    </w:tbl>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contextualSpacing/>
        <w:jc w:val="center"/>
        <w:spacing w:line="600" w:lineRule="exact"/>
        <w:rPr>
          <w:rFonts w:ascii="宋体" w:hAnsi="宋体"/>
          <w:b/>
          <w:bCs/>
          <w:sz w:val="32"/>
          <w:szCs w:val="32"/>
        </w:rPr>
      </w:pPr>
      <w:r>
        <w:rPr>
          <w:rFonts w:ascii="宋体" w:hAnsi="宋体"/>
          <w:b/>
          <w:bCs/>
          <w:sz w:val="32"/>
          <w:szCs w:val="32"/>
        </w:rPr>
      </w:r>
      <w:r/>
    </w:p>
    <w:p>
      <w:pPr>
        <w:pStyle w:val="1030"/>
      </w:p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44"/>
        <w:ind w:firstLine="422"/>
        <w:rPr>
          <w:rFonts w:ascii="宋体" w:hAnsi="宋体" w:cs="Arial"/>
          <w:b/>
          <w:bCs/>
        </w:rPr>
      </w:pPr>
      <w:r>
        <w:rPr>
          <w:rFonts w:ascii="宋体" w:hAnsi="宋体" w:cs="Arial"/>
          <w:b/>
          <w:bCs/>
        </w:rPr>
      </w:r>
      <w:r/>
    </w:p>
    <w:p>
      <w:pPr>
        <w:pStyle w:val="1030"/>
        <w:rPr>
          <w:rFonts w:ascii="宋体" w:hAnsi="宋体" w:cs="Arial"/>
          <w:b/>
          <w:bCs/>
        </w:rPr>
      </w:pPr>
      <w:r>
        <w:rPr>
          <w:rFonts w:ascii="宋体" w:hAnsi="宋体" w:cs="Arial"/>
          <w:b/>
          <w:bCs/>
        </w:rPr>
      </w:r>
      <w:r/>
    </w:p>
    <w:p>
      <w:pPr>
        <w:pStyle w:val="1044"/>
      </w:p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60"/>
      </w:pPr>
      <w:r/>
      <w:r/>
    </w:p>
    <w:p>
      <w:pPr>
        <w:pStyle w:val="1030"/>
        <w:jc w:val="left"/>
        <w:widowControl/>
        <w:rPr>
          <w:rFonts w:ascii="宋体" w:hAnsi="宋体" w:cs="Arial"/>
          <w:b/>
          <w:bCs/>
        </w:rPr>
      </w:pPr>
      <w:r>
        <w:rPr>
          <w:rFonts w:ascii="宋体" w:hAnsi="宋体" w:cs="Arial"/>
          <w:b/>
          <w:bCs/>
        </w:rPr>
      </w:r>
      <w:r/>
    </w:p>
    <w:p>
      <w:pPr>
        <w:pStyle w:val="1030"/>
        <w:jc w:val="center"/>
        <w:spacing w:before="312" w:after="312"/>
        <w:rPr>
          <w:b/>
          <w:bCs/>
        </w:rPr>
      </w:pPr>
      <w:r>
        <w:rPr>
          <w:rFonts w:hint="eastAsia"/>
          <w:b/>
          <w:bCs/>
        </w:rPr>
        <w:t xml:space="preserve">中小企业声明函（工程、服务）</w:t>
      </w:r>
      <w:r>
        <w:rPr>
          <w:b/>
          <w:bCs/>
        </w:rPr>
      </w:r>
      <w:r/>
    </w:p>
    <w:p>
      <w:pPr>
        <w:pStyle w:val="1030"/>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30"/>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ascii="宋体" w:hAnsi="宋体" w:cs="宋体"/>
          <w:u w:val="single"/>
        </w:rPr>
        <w:t xml:space="preserve">（</w:t>
      </w:r>
      <w:r>
        <w:rPr>
          <w:rFonts w:hint="eastAsia" w:ascii="宋体" w:hAnsi="宋体" w:cs="宋体"/>
          <w:b/>
          <w:u w:val="single"/>
        </w:rPr>
        <w:t xml:space="preserve">其他未列明行业</w:t>
      </w:r>
      <w:r>
        <w:rPr>
          <w:rFonts w:hint="eastAsia" w:ascii="宋体" w:hAnsi="宋体" w:cs="宋体"/>
          <w:u w:val="single"/>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rPr>
          <w:u w:val="single"/>
        </w:rPr>
      </w:r>
      <w:r/>
    </w:p>
    <w:p>
      <w:pPr>
        <w:pStyle w:val="1030"/>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1030"/>
        <w:ind w:firstLine="420"/>
        <w:jc w:val="left"/>
        <w:spacing w:line="360" w:lineRule="auto"/>
      </w:pPr>
      <w:r>
        <w:rPr>
          <w:rFonts w:hint="eastAsia"/>
        </w:rPr>
        <w:t xml:space="preserve">……</w:t>
      </w:r>
      <w:r/>
    </w:p>
    <w:p>
      <w:pPr>
        <w:pStyle w:val="1030"/>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pStyle w:val="1030"/>
        <w:ind w:firstLine="420"/>
        <w:jc w:val="left"/>
        <w:spacing w:line="360" w:lineRule="auto"/>
      </w:pPr>
      <w:r>
        <w:rPr>
          <w:rFonts w:hint="eastAsia"/>
        </w:rPr>
        <w:t xml:space="preserve">本企业对上述声明内容的真实性负责。如有虚假，将依法承担相应责任。</w:t>
      </w:r>
      <w:r/>
    </w:p>
    <w:p>
      <w:pPr>
        <w:pStyle w:val="1030"/>
        <w:jc w:val="left"/>
        <w:spacing w:line="360"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1030"/>
        <w:ind w:firstLine="420"/>
        <w:spacing w:line="360" w:lineRule="auto"/>
        <w:rPr>
          <w:rFonts w:ascii="宋体" w:hAnsi="宋体"/>
        </w:rPr>
      </w:pPr>
      <w:r>
        <w:rPr>
          <w:rFonts w:hint="eastAsia" w:ascii="宋体" w:hAnsi="宋体"/>
        </w:rPr>
        <w:t xml:space="preserve">2、供应商如不提供此声明函，价格将不做相应扣除。</w:t>
      </w:r>
      <w:r>
        <w:rPr>
          <w:rFonts w:ascii="宋体" w:hAnsi="宋体"/>
        </w:rPr>
      </w:r>
      <w:r/>
    </w:p>
    <w:p>
      <w:pPr>
        <w:pStyle w:val="1030"/>
        <w:spacing w:line="360" w:lineRule="auto"/>
        <w:rPr>
          <w:rFonts w:ascii="宋体" w:hAnsi="宋体"/>
        </w:rPr>
      </w:pPr>
      <w:r>
        <w:rPr>
          <w:rFonts w:hint="eastAsia" w:ascii="宋体" w:hAnsi="宋体"/>
        </w:rPr>
        <w:t xml:space="preserve">    3、企业声明函请完整填写，中标后将公示。</w:t>
      </w:r>
      <w:r>
        <w:rPr>
          <w:rFonts w:ascii="宋体" w:hAnsi="宋体"/>
        </w:rPr>
      </w:r>
      <w:r/>
    </w:p>
    <w:p>
      <w:pPr>
        <w:pStyle w:val="1030"/>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1030"/>
        <w:ind w:firstLine="420"/>
        <w:jc w:val="left"/>
        <w:spacing w:line="360" w:lineRule="auto"/>
      </w:pPr>
      <w:r>
        <w:rPr>
          <w:rFonts w:hint="eastAsia"/>
        </w:rPr>
        <w:t xml:space="preserve">5</w:t>
      </w:r>
      <w:r>
        <w:t xml:space="preserve">、声明函应涵盖本项目(分包)所有货物，否则价格不作扣除。</w:t>
      </w:r>
      <w:r/>
    </w:p>
    <w:p>
      <w:pPr>
        <w:pStyle w:val="1030"/>
        <w:ind w:firstLine="420"/>
        <w:jc w:val="left"/>
        <w:spacing w:line="360"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rPr>
          <w:rFonts w:ascii="宋体" w:hAnsi="宋体"/>
          <w:szCs w:val="21"/>
        </w:rPr>
      </w:r>
      <w:r/>
    </w:p>
    <w:p>
      <w:pPr>
        <w:pStyle w:val="1030"/>
        <w:ind w:firstLine="420"/>
        <w:jc w:val="left"/>
        <w:spacing w:line="360"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1030"/>
        <w:ind w:firstLine="5250"/>
        <w:spacing w:line="360" w:lineRule="auto"/>
      </w:pPr>
      <w:r>
        <w:rPr>
          <w:rFonts w:hint="eastAsia"/>
        </w:rPr>
        <w:t xml:space="preserve">企业名称（盖章）：</w:t>
      </w:r>
      <w:r/>
    </w:p>
    <w:p>
      <w:pPr>
        <w:pStyle w:val="1030"/>
        <w:jc w:val="center"/>
        <w:spacing w:line="360" w:lineRule="auto"/>
      </w:pPr>
      <w:r>
        <w:rPr>
          <w:rFonts w:hint="eastAsia"/>
        </w:rPr>
        <w:t xml:space="preserve">                             日 期：</w:t>
      </w:r>
      <w:r/>
    </w:p>
    <w:p>
      <w:pPr>
        <w:pStyle w:val="1030"/>
        <w:jc w:val="center"/>
        <w:rPr>
          <w:rStyle w:val="1090"/>
          <w:rFonts w:ascii="宋体" w:hAnsi="宋体" w:cs="仿宋"/>
          <w:szCs w:val="21"/>
        </w:rPr>
      </w:pPr>
      <w:r>
        <w:rPr>
          <w:rStyle w:val="1090"/>
          <w:rFonts w:hint="eastAsia" w:ascii="宋体" w:hAnsi="宋体" w:cs="仿宋"/>
          <w:szCs w:val="21"/>
        </w:rPr>
        <w:t xml:space="preserve">中小微企业划型标准</w:t>
      </w:r>
      <w:r>
        <w:rPr>
          <w:rStyle w:val="1090"/>
          <w:rFonts w:ascii="宋体" w:hAnsi="宋体" w:cs="仿宋"/>
          <w:szCs w:val="21"/>
        </w:rPr>
      </w:r>
      <w:r/>
    </w:p>
    <w:p>
      <w:pPr>
        <w:pStyle w:val="1085"/>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1090"/>
          <w:rFonts w:hint="eastAsia" w:ascii="宋体" w:hAnsi="宋体" w:cs="仿宋"/>
          <w:sz w:val="21"/>
          <w:szCs w:val="21"/>
        </w:rPr>
        <w:t xml:space="preserve">中小微企业划型标准如下：</w:t>
      </w:r>
      <w:r>
        <w:rPr>
          <w:rFonts w:ascii="宋体" w:hAnsi="宋体"/>
          <w:sz w:val="21"/>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85"/>
              <w:spacing w:after="150" w:line="360" w:lineRule="auto"/>
              <w:widowControl/>
              <w:rPr>
                <w:rFonts w:ascii="宋体" w:hAnsi="宋体"/>
                <w:sz w:val="21"/>
                <w:szCs w:val="21"/>
              </w:rPr>
            </w:pPr>
            <w:r>
              <w:rPr>
                <w:rStyle w:val="1090"/>
                <w:rFonts w:hint="eastAsia" w:ascii="宋体" w:hAnsi="宋体" w:cs="仿宋"/>
                <w:sz w:val="21"/>
                <w:szCs w:val="21"/>
              </w:rPr>
              <w:t xml:space="preserve">行业名称</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指标名称</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计量单位</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中型</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小型</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农、林、牧、渔</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500≤Y＜20000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50≤Y＜500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工业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2000≤Y＜40000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300≤Y＜2000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Y＜300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建筑业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6000≤Y＜80000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300≤Y＜6000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Y＜300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5000≤Z＜80000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300≤Z＜5000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Z＜300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批发业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20≤X＜200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5≤X＜20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X＜5</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5000≤Y＜40000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1000≤Y＜5000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Y＜1000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零售业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10≤X＜50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500≤Y＜20000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100≤Y＜500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交通运输业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3000≤Y＜30000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200≤Y＜3000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Y＜200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仓储业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100≤X＜200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1000≤Y＜30000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邮政业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2000≤Y＜30000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住宿业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ind w:firstLine="420"/>
              <w:jc w:val="center"/>
              <w:spacing w:after="150" w:line="360" w:lineRule="auto"/>
              <w:widowControl/>
              <w:rPr>
                <w:rFonts w:ascii="宋体" w:hAnsi="宋体"/>
                <w:sz w:val="21"/>
                <w:szCs w:val="21"/>
              </w:rPr>
            </w:pPr>
            <w:r>
              <w:rPr>
                <w:rStyle w:val="1090"/>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2000≤Y＜10000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餐饮业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2000≤Y＜10000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信息传输业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100≤X＜2000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1000≤Y＜100000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软件和信息技术服务业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1000≤Y＜10000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房地产开发经营</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1000≤Y＜200000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100≤X＜1000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X＜100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5000≤Z＜10000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2000≤Y＜5000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Y＜2000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物业管理</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X＜100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1000≤Y＜5000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500≤Y＜1000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Y＜500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租赁和商务服务业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10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8000≤Z＜120000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100≤Z＜8000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其他未列明行业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085"/>
              <w:jc w:val="center"/>
              <w:spacing w:after="150" w:line="360" w:lineRule="auto"/>
              <w:widowControl/>
              <w:rPr>
                <w:rFonts w:ascii="宋体" w:hAnsi="宋体"/>
                <w:sz w:val="21"/>
                <w:szCs w:val="21"/>
              </w:rPr>
            </w:pPr>
            <w:r>
              <w:rPr>
                <w:rStyle w:val="1090"/>
                <w:rFonts w:hint="eastAsia" w:ascii="宋体" w:hAnsi="宋体" w:cs="仿宋"/>
                <w:sz w:val="21"/>
                <w:szCs w:val="21"/>
              </w:rPr>
              <w:t xml:space="preserve">X＜10</w:t>
            </w:r>
            <w:r>
              <w:rPr>
                <w:rFonts w:ascii="宋体" w:hAnsi="宋体"/>
                <w:sz w:val="21"/>
                <w:szCs w:val="21"/>
              </w:rPr>
            </w:r>
            <w:r/>
          </w:p>
        </w:tc>
      </w:tr>
    </w:tbl>
    <w:p>
      <w:pPr>
        <w:pStyle w:val="1085"/>
        <w:ind w:firstLine="810"/>
        <w:spacing w:before="300" w:after="452" w:line="360" w:lineRule="auto"/>
        <w:widowControl/>
        <w:rPr>
          <w:rStyle w:val="1090"/>
          <w:rFonts w:ascii="宋体" w:hAnsi="宋体" w:cs="仿宋"/>
          <w:sz w:val="21"/>
          <w:szCs w:val="21"/>
        </w:rPr>
      </w:pPr>
      <w:r>
        <w:rPr>
          <w:rStyle w:val="1090"/>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90"/>
          <w:rFonts w:ascii="宋体" w:hAnsi="宋体" w:cs="仿宋"/>
          <w:sz w:val="21"/>
          <w:szCs w:val="21"/>
        </w:rPr>
      </w:r>
      <w:r/>
    </w:p>
    <w:p>
      <w:pPr>
        <w:pStyle w:val="1033"/>
        <w:numPr>
          <w:ilvl w:val="0"/>
          <w:numId w:val="0"/>
        </w:numPr>
        <w:rPr>
          <w:rStyle w:val="1090"/>
          <w:rFonts w:cs="仿宋"/>
          <w:sz w:val="21"/>
          <w:szCs w:val="21"/>
        </w:rPr>
      </w:pPr>
      <w:r>
        <w:rPr>
          <w:rStyle w:val="1090"/>
          <w:rFonts w:ascii="宋体" w:hAnsi="宋体" w:cs="仿宋"/>
          <w:sz w:val="21"/>
          <w:szCs w:val="21"/>
        </w:rPr>
        <w:br w:type="page" w:clear="all"/>
      </w:r>
      <w:r>
        <w:rPr>
          <w:rStyle w:val="1090"/>
          <w:rFonts w:cs="仿宋"/>
          <w:sz w:val="21"/>
          <w:szCs w:val="21"/>
        </w:rPr>
      </w:r>
      <w:r/>
    </w:p>
    <w:p>
      <w:pPr>
        <w:pStyle w:val="1030"/>
        <w:ind w:firstLine="2726"/>
        <w:spacing w:line="360" w:lineRule="auto"/>
        <w:rPr>
          <w:rFonts w:ascii="宋体" w:hAnsi="宋体"/>
          <w:b/>
          <w:bCs/>
        </w:rPr>
      </w:pPr>
      <w:r>
        <w:rPr>
          <w:rFonts w:hint="eastAsia" w:ascii="宋体" w:hAnsi="宋体"/>
          <w:b/>
          <w:bCs/>
        </w:rPr>
        <w:t xml:space="preserve">残疾人福利性单位声明函</w:t>
      </w:r>
      <w:r>
        <w:rPr>
          <w:rFonts w:ascii="宋体" w:hAnsi="宋体"/>
          <w:b/>
          <w:bCs/>
        </w:rPr>
      </w:r>
      <w:r/>
    </w:p>
    <w:p>
      <w:pPr>
        <w:pStyle w:val="103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30"/>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1030"/>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1030"/>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1030"/>
        <w:ind w:firstLine="420"/>
        <w:spacing w:line="588" w:lineRule="exact"/>
        <w:rPr>
          <w:rFonts w:ascii="宋体" w:hAnsi="宋体"/>
          <w:szCs w:val="21"/>
        </w:rPr>
      </w:pPr>
      <w:r>
        <w:rPr>
          <w:rFonts w:ascii="宋体" w:hAnsi="宋体"/>
          <w:szCs w:val="21"/>
        </w:rPr>
      </w:r>
      <w:r/>
    </w:p>
    <w:p>
      <w:pPr>
        <w:pStyle w:val="1030"/>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1030"/>
        <w:ind w:firstLine="444"/>
        <w:spacing w:line="588" w:lineRule="exact"/>
        <w:rPr>
          <w:rFonts w:ascii="仿宋_GB2312" w:eastAsia="仿宋_GB2312"/>
          <w:spacing w:val="6"/>
          <w:szCs w:val="21"/>
        </w:rPr>
      </w:pPr>
      <w:r>
        <w:rPr>
          <w:rFonts w:ascii="仿宋_GB2312" w:eastAsia="仿宋_GB2312"/>
          <w:spacing w:val="6"/>
          <w:szCs w:val="21"/>
        </w:rPr>
      </w:r>
      <w:r/>
    </w:p>
    <w:p>
      <w:pPr>
        <w:pStyle w:val="1030"/>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1030"/>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center"/>
        <w:spacing w:line="360" w:lineRule="auto"/>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left"/>
        <w:widowControl/>
        <w:rPr>
          <w:rFonts w:ascii="宋体" w:hAnsi="宋体" w:cs="Arial"/>
          <w:b/>
          <w:bCs/>
        </w:rPr>
      </w:pPr>
      <w:r>
        <w:rPr>
          <w:rFonts w:ascii="宋体" w:hAnsi="宋体" w:cs="Arial"/>
          <w:b/>
          <w:bCs/>
        </w:rPr>
      </w:r>
      <w:r/>
    </w:p>
    <w:p>
      <w:pPr>
        <w:pStyle w:val="1030"/>
        <w:jc w:val="center"/>
        <w:rPr>
          <w:rFonts w:ascii="宋体" w:hAnsi="宋体"/>
          <w:b/>
          <w:bCs/>
          <w:sz w:val="32"/>
        </w:rPr>
      </w:pPr>
      <w:r>
        <w:rPr>
          <w:rFonts w:hint="eastAsia" w:ascii="宋体" w:hAnsi="宋体"/>
          <w:b/>
          <w:sz w:val="32"/>
          <w:szCs w:val="32"/>
        </w:rPr>
        <w:br w:type="page" w:clear="all"/>
      </w:r>
      <w:r>
        <w:rPr>
          <w:rFonts w:hint="eastAsia" w:ascii="宋体" w:hAnsi="宋体"/>
          <w:b/>
          <w:bCs/>
          <w:sz w:val="32"/>
        </w:rPr>
        <w:t xml:space="preserve">四、开标一览表</w:t>
      </w:r>
      <w:r>
        <w:rPr>
          <w:rFonts w:ascii="宋体" w:hAnsi="宋体"/>
          <w:b/>
          <w:bCs/>
          <w:sz w:val="32"/>
        </w:rPr>
      </w:r>
      <w:r/>
    </w:p>
    <w:p>
      <w:pPr>
        <w:pStyle w:val="1030"/>
        <w:ind w:firstLine="480"/>
        <w:spacing w:line="360" w:lineRule="auto"/>
        <w:rPr>
          <w:szCs w:val="21"/>
        </w:rPr>
      </w:pPr>
      <w:r>
        <w:rPr>
          <w:rFonts w:hint="eastAsia" w:ascii="宋体" w:hAnsi="宋体"/>
          <w:szCs w:val="21"/>
        </w:rPr>
        <w:t xml:space="preserve">项目名称：</w:t>
      </w:r>
      <w:r>
        <w:rPr>
          <w:szCs w:val="21"/>
        </w:rPr>
      </w:r>
      <w:r/>
    </w:p>
    <w:p>
      <w:pPr>
        <w:pStyle w:val="1030"/>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1030"/>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1030"/>
        <w:ind w:firstLine="480"/>
        <w:rPr>
          <w:rFonts w:ascii="宋体" w:hAnsi="宋体"/>
          <w:szCs w:val="21"/>
        </w:rPr>
      </w:pPr>
      <w:r>
        <w:rPr>
          <w:rFonts w:hint="eastAsia" w:ascii="宋体" w:hAnsi="宋体"/>
          <w:szCs w:val="21"/>
        </w:rPr>
        <w:t xml:space="preserve">                       </w:t>
      </w:r>
      <w:r>
        <w:rPr>
          <w:rFonts w:ascii="宋体" w:hAnsi="宋体"/>
          <w:szCs w:val="21"/>
        </w:rPr>
      </w:r>
      <w:r/>
    </w:p>
    <w:tbl>
      <w:tblPr>
        <w:tblW w:w="86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82"/>
      </w:tblGrid>
      <w:tr>
        <w:trPr>
          <w:cantSplit/>
          <w:trHeight w:val="1098"/>
        </w:trPr>
        <w:tc>
          <w:tcPr>
            <w:tcW w:w="2481" w:type="dxa"/>
            <w:vAlign w:val="center"/>
            <w:textDirection w:val="lrTb"/>
            <w:noWrap w:val="false"/>
          </w:tcPr>
          <w:p>
            <w:pPr>
              <w:pStyle w:val="1060"/>
              <w:spacing w:line="30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rPr>
                <w:rFonts w:ascii="宋体" w:hAnsi="宋体" w:eastAsia="宋体" w:cs="宋体"/>
                <w:sz w:val="21"/>
                <w:szCs w:val="21"/>
              </w:rPr>
            </w:r>
            <w:r/>
          </w:p>
        </w:tc>
        <w:tc>
          <w:tcPr>
            <w:tcW w:w="6182" w:type="dxa"/>
            <w:vAlign w:val="center"/>
            <w:textDirection w:val="lrTb"/>
            <w:noWrap w:val="false"/>
          </w:tcPr>
          <w:p>
            <w:pPr>
              <w:pStyle w:val="1030"/>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1060"/>
              <w:spacing w:line="300" w:lineRule="auto"/>
              <w:rPr>
                <w:rFonts w:ascii="宋体" w:hAnsi="宋体" w:eastAsia="宋体" w:cs="宋体"/>
                <w:sz w:val="21"/>
                <w:szCs w:val="21"/>
              </w:rPr>
            </w:pPr>
            <w:r>
              <w:rPr>
                <w:rFonts w:ascii="宋体" w:hAnsi="宋体" w:eastAsia="宋体" w:cs="宋体"/>
                <w:sz w:val="21"/>
                <w:szCs w:val="21"/>
              </w:rPr>
            </w:r>
            <w:r/>
          </w:p>
        </w:tc>
        <w:tc>
          <w:tcPr>
            <w:tcW w:w="6182" w:type="dxa"/>
            <w:vAlign w:val="center"/>
            <w:textDirection w:val="lrTb"/>
            <w:noWrap w:val="false"/>
          </w:tcPr>
          <w:p>
            <w:pPr>
              <w:pStyle w:val="1182"/>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大写：</w:t>
            </w:r>
            <w:r>
              <w:rPr>
                <w:rFonts w:hint="eastAsia" w:ascii="宋体" w:hAnsi="宋体" w:cs="宋体"/>
                <w:sz w:val="21"/>
                <w:szCs w:val="21"/>
              </w:rPr>
            </w:r>
            <w:r/>
          </w:p>
          <w:p>
            <w:pPr>
              <w:pStyle w:val="1182"/>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                             </w:t>
            </w:r>
            <w:r>
              <w:rPr>
                <w:rFonts w:hint="eastAsia" w:ascii="宋体" w:hAnsi="宋体" w:cs="宋体"/>
                <w:sz w:val="21"/>
                <w:szCs w:val="21"/>
              </w:rPr>
            </w:r>
            <w:r/>
          </w:p>
          <w:p>
            <w:pPr>
              <w:pStyle w:val="1182"/>
              <w:ind w:firstLine="0"/>
              <w:spacing w:before="0" w:after="0" w:line="500" w:lineRule="exact"/>
              <w:rPr>
                <w:rFonts w:hint="eastAsia" w:ascii="宋体" w:hAnsi="宋体" w:cs="宋体"/>
                <w:sz w:val="21"/>
                <w:szCs w:val="21"/>
              </w:rPr>
            </w:pPr>
            <w:r>
              <w:rPr>
                <w:rFonts w:hint="eastAsia" w:ascii="宋体" w:hAnsi="宋体" w:cs="宋体"/>
                <w:sz w:val="21"/>
                <w:szCs w:val="21"/>
              </w:rPr>
            </w:r>
            <w:r/>
          </w:p>
        </w:tc>
      </w:tr>
      <w:tr>
        <w:trPr>
          <w:cantSplit/>
          <w:trHeight w:val="1697"/>
        </w:trPr>
        <w:tc>
          <w:tcPr>
            <w:tcW w:w="2481" w:type="dxa"/>
            <w:vAlign w:val="center"/>
            <w:textDirection w:val="lrTb"/>
            <w:noWrap w:val="false"/>
          </w:tcPr>
          <w:p>
            <w:pPr>
              <w:pStyle w:val="106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6182" w:type="dxa"/>
            <w:vAlign w:val="center"/>
            <w:textDirection w:val="lrTb"/>
            <w:noWrap w:val="false"/>
          </w:tcPr>
          <w:p>
            <w:pPr>
              <w:pStyle w:val="1182"/>
              <w:ind w:firstLine="0"/>
              <w:spacing w:before="0" w:after="0" w:line="500" w:lineRule="exact"/>
              <w:rPr>
                <w:rFonts w:hint="eastAsia" w:ascii="宋体" w:hAnsi="宋体" w:cs="宋体"/>
                <w:sz w:val="21"/>
                <w:szCs w:val="21"/>
              </w:rPr>
            </w:pPr>
            <w:r>
              <w:rPr>
                <w:rFonts w:hint="eastAsia" w:ascii="宋体" w:hAnsi="宋体" w:cs="宋体"/>
                <w:sz w:val="21"/>
                <w:szCs w:val="21"/>
              </w:rPr>
            </w:r>
            <w:r/>
          </w:p>
        </w:tc>
      </w:tr>
    </w:tbl>
    <w:p>
      <w:pPr>
        <w:pStyle w:val="1030"/>
        <w:rPr>
          <w:rFonts w:ascii="宋体" w:hAnsi="宋体"/>
          <w:szCs w:val="21"/>
        </w:rPr>
      </w:pPr>
      <w:r>
        <w:rPr>
          <w:rFonts w:ascii="宋体" w:hAnsi="宋体"/>
          <w:szCs w:val="21"/>
        </w:rPr>
      </w:r>
      <w:r/>
    </w:p>
    <w:p>
      <w:pPr>
        <w:pStyle w:val="1030"/>
        <w:ind w:firstLine="480"/>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1044"/>
        <w:ind w:firstLine="640"/>
        <w:rPr>
          <w:rFonts w:ascii="宋体" w:hAnsi="宋体"/>
          <w:sz w:val="32"/>
          <w:szCs w:val="32"/>
        </w:rPr>
      </w:pPr>
      <w:r>
        <w:rPr>
          <w:rFonts w:ascii="宋体" w:hAnsi="宋体"/>
          <w:sz w:val="32"/>
          <w:szCs w:val="32"/>
        </w:rPr>
      </w:r>
      <w:r/>
    </w:p>
    <w:p>
      <w:pPr>
        <w:pStyle w:val="1044"/>
        <w:ind w:firstLine="640"/>
        <w:rPr>
          <w:rFonts w:ascii="宋体" w:hAnsi="宋体"/>
          <w:sz w:val="32"/>
          <w:szCs w:val="32"/>
        </w:rPr>
      </w:pPr>
      <w:r>
        <w:rPr>
          <w:rFonts w:ascii="宋体" w:hAnsi="宋体"/>
          <w:sz w:val="32"/>
          <w:szCs w:val="32"/>
        </w:rPr>
      </w:r>
      <w:r/>
    </w:p>
    <w:p>
      <w:pPr>
        <w:pStyle w:val="1030"/>
        <w:jc w:val="center"/>
        <w:rPr>
          <w:rFonts w:ascii="宋体" w:hAnsi="宋体"/>
          <w:b/>
          <w:bCs/>
          <w:sz w:val="32"/>
        </w:rPr>
      </w:pPr>
      <w:r>
        <w:rPr>
          <w:rFonts w:hint="eastAsia" w:ascii="宋体" w:hAnsi="宋体"/>
          <w:sz w:val="32"/>
          <w:szCs w:val="32"/>
        </w:rPr>
        <w:br w:type="page" w:clear="all"/>
      </w:r>
      <w:r>
        <w:rPr>
          <w:rFonts w:hint="eastAsia" w:ascii="宋体" w:hAnsi="宋体"/>
          <w:b/>
          <w:bCs/>
          <w:sz w:val="32"/>
        </w:rPr>
        <w:t xml:space="preserve">五、分项报价表</w:t>
      </w:r>
      <w:r>
        <w:rPr>
          <w:rFonts w:ascii="宋体" w:hAnsi="宋体"/>
          <w:b/>
          <w:bCs/>
          <w:sz w:val="32"/>
        </w:rPr>
      </w:r>
      <w:r/>
    </w:p>
    <w:p>
      <w:pPr>
        <w:pStyle w:val="1030"/>
        <w:jc w:val="left"/>
        <w:widowControl/>
        <w:rPr>
          <w:rFonts w:ascii="宋体" w:hAnsi="宋体" w:cs="Arial"/>
          <w:b/>
          <w:bCs/>
        </w:rPr>
      </w:pPr>
      <w:r>
        <w:rPr>
          <w:rFonts w:ascii="宋体" w:hAnsi="宋体" w:cs="Arial"/>
          <w:b/>
          <w:bCs/>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8"/>
        <w:gridCol w:w="1704"/>
        <w:gridCol w:w="1704"/>
        <w:gridCol w:w="1704"/>
        <w:gridCol w:w="1709"/>
      </w:tblGrid>
      <w:tr>
        <w:trPr>
          <w:trHeight w:val="475"/>
        </w:trPr>
        <w:tc>
          <w:tcPr>
            <w:tcW w:w="997"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lang w:bidi="ar"/>
              </w:rPr>
              <w:t xml:space="preserve">单位</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基准用量（kWh）</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投标量（kWh）</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基准单价（元）</w:t>
            </w:r>
            <w:r>
              <w:rPr>
                <w:rFonts w:hint="eastAsia" w:ascii="宋体" w:hAnsi="宋体" w:cs="宋体"/>
                <w:color w:val="000000"/>
                <w:sz w:val="21"/>
                <w:szCs w:val="21"/>
              </w:rPr>
            </w:r>
            <w:r/>
          </w:p>
        </w:tc>
        <w:tc>
          <w:tcPr>
            <w:tcW w:w="1001"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投标费用（元）</w:t>
            </w:r>
            <w:r>
              <w:rPr>
                <w:rFonts w:hint="eastAsia" w:ascii="宋体" w:hAnsi="宋体" w:cs="宋体"/>
                <w:color w:val="000000"/>
                <w:sz w:val="21"/>
                <w:szCs w:val="21"/>
              </w:rPr>
            </w:r>
            <w:r/>
          </w:p>
        </w:tc>
      </w:tr>
      <w:tr>
        <w:trPr>
          <w:trHeight w:val="366"/>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91380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79510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3月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61250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4月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42700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45810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60680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7月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94410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8月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100280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9月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77840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42720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11月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50700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12月</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85500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1"/>
        </w:trPr>
        <w:tc>
          <w:tcPr>
            <w:tcW w:w="997"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年度合计</w:t>
            </w: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832780</w:t>
            </w:r>
            <w:r>
              <w:rPr>
                <w:rFonts w:hint="eastAsia" w:ascii="宋体" w:hAnsi="宋体" w:cs="宋体"/>
                <w:color w:val="000000"/>
                <w:sz w:val="21"/>
                <w:szCs w:val="21"/>
              </w:rPr>
            </w:r>
            <w:r/>
          </w:p>
        </w:tc>
        <w:tc>
          <w:tcPr>
            <w:tcW w:w="1000"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0"/>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0.73</w:t>
            </w:r>
            <w:r>
              <w:rPr>
                <w:rFonts w:hint="eastAsia" w:ascii="宋体" w:hAnsi="宋体" w:cs="宋体"/>
                <w:color w:val="000000"/>
                <w:sz w:val="21"/>
                <w:szCs w:val="21"/>
              </w:rPr>
            </w:r>
            <w:r/>
          </w:p>
        </w:tc>
        <w:tc>
          <w:tcPr>
            <w:tcW w:w="1001" w:type="dxa"/>
            <w:vAlign w:val="center"/>
            <w:textDirection w:val="lrTb"/>
            <w:noWrap w:val="false"/>
          </w:tcPr>
          <w:p>
            <w:pPr>
              <w:pStyle w:val="1030"/>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623"/>
        </w:trPr>
        <w:tc>
          <w:tcPr>
            <w:gridSpan w:val="5"/>
            <w:tcW w:w="8519" w:type="dxa"/>
            <w:vAlign w:val="center"/>
            <w:textDirection w:val="lrTb"/>
            <w:noWrap w:val="false"/>
          </w:tcPr>
          <w:p>
            <w:pPr>
              <w:pStyle w:val="1030"/>
              <w:jc w:val="center"/>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投标总报价：人民币</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 xml:space="preserve">元</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每</w:t>
            </w:r>
            <w:r>
              <w:rPr>
                <w:rFonts w:hint="eastAsia" w:ascii="宋体" w:hAnsi="宋体" w:cs="宋体"/>
                <w:color w:val="000000"/>
                <w:sz w:val="21"/>
                <w:szCs w:val="21"/>
              </w:rPr>
              <w:t xml:space="preserve">年度合计费用*8年</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tc>
      </w:tr>
    </w:tbl>
    <w:p>
      <w:pPr>
        <w:pStyle w:val="103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Style w:val="1030"/>
        <w:ind w:firstLine="570"/>
        <w:spacing w:line="360" w:lineRule="auto"/>
        <w:rPr>
          <w:sz w:val="21"/>
          <w:szCs w:val="21"/>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sz w:val="21"/>
          <w:szCs w:val="21"/>
        </w:rPr>
        <w:t xml:space="preserve">备注：投标人报价时，每月投标量不得高于招标文件基准用量，投标费用采用投标量乘以基准单价，未来支付费用时，采用月度投标量乘以合同约定能源单价结算。</w:t>
      </w:r>
      <w:r>
        <w:rPr>
          <w:sz w:val="21"/>
          <w:szCs w:val="21"/>
        </w:rPr>
      </w:r>
      <w:r/>
    </w:p>
    <w:p>
      <w:pPr>
        <w:pStyle w:val="1032"/>
        <w:numPr>
          <w:ilvl w:val="0"/>
          <w:numId w:val="0"/>
        </w:numPr>
        <w:jc w:val="center"/>
        <w:rPr>
          <w:rFonts w:ascii="宋体" w:hAnsi="宋体"/>
          <w:sz w:val="32"/>
        </w:rPr>
      </w:pPr>
      <w:r>
        <w:rPr>
          <w:rFonts w:hint="eastAsia" w:ascii="宋体" w:hAnsi="宋体"/>
          <w:sz w:val="32"/>
        </w:rPr>
        <w:t xml:space="preserve">六、技术参数响应及偏离表</w:t>
      </w:r>
      <w:r>
        <w:rPr>
          <w:rFonts w:ascii="宋体" w:hAnsi="宋体"/>
          <w:sz w:val="32"/>
        </w:rPr>
      </w:r>
      <w:r/>
    </w:p>
    <w:tbl>
      <w:tblPr>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1030"/>
              <w:jc w:val="center"/>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1030"/>
              <w:jc w:val="center"/>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1030"/>
              <w:jc w:val="center"/>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1030"/>
              <w:jc w:val="center"/>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1030"/>
              <w:jc w:val="center"/>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1030"/>
              <w:jc w:val="center"/>
              <w:rPr>
                <w:rFonts w:ascii="宋体" w:hAnsi="宋体"/>
                <w:szCs w:val="21"/>
              </w:rPr>
            </w:pPr>
            <w:r>
              <w:rPr>
                <w:rFonts w:ascii="宋体" w:hAnsi="宋体"/>
                <w:szCs w:val="21"/>
              </w:rPr>
            </w:r>
            <w:r/>
          </w:p>
        </w:tc>
        <w:tc>
          <w:tcPr>
            <w:tcW w:w="2551" w:type="dxa"/>
            <w:vAlign w:val="top"/>
            <w:textDirection w:val="lrTb"/>
            <w:noWrap w:val="false"/>
          </w:tcPr>
          <w:p>
            <w:pPr>
              <w:pStyle w:val="1030"/>
              <w:jc w:val="center"/>
              <w:rPr>
                <w:rFonts w:ascii="宋体" w:hAnsi="宋体"/>
                <w:szCs w:val="21"/>
              </w:rPr>
            </w:pPr>
            <w:r>
              <w:rPr>
                <w:rFonts w:ascii="宋体" w:hAnsi="宋体"/>
                <w:szCs w:val="21"/>
              </w:rPr>
            </w:r>
            <w:r/>
          </w:p>
        </w:tc>
        <w:tc>
          <w:tcPr>
            <w:tcW w:w="2701" w:type="dxa"/>
            <w:vAlign w:val="top"/>
            <w:textDirection w:val="lrTb"/>
            <w:noWrap w:val="false"/>
          </w:tcPr>
          <w:p>
            <w:pPr>
              <w:pStyle w:val="1030"/>
              <w:jc w:val="center"/>
              <w:rPr>
                <w:rFonts w:ascii="宋体" w:hAnsi="宋体"/>
                <w:szCs w:val="21"/>
              </w:rPr>
            </w:pPr>
            <w:r>
              <w:rPr>
                <w:rFonts w:ascii="宋体" w:hAnsi="宋体"/>
                <w:szCs w:val="21"/>
              </w:rPr>
            </w:r>
            <w:r/>
          </w:p>
        </w:tc>
        <w:tc>
          <w:tcPr>
            <w:tcW w:w="1458" w:type="dxa"/>
            <w:vAlign w:val="top"/>
            <w:textDirection w:val="lrTb"/>
            <w:noWrap w:val="false"/>
          </w:tcPr>
          <w:p>
            <w:pPr>
              <w:pStyle w:val="1030"/>
              <w:jc w:val="center"/>
              <w:rPr>
                <w:rFonts w:ascii="宋体" w:hAnsi="宋体"/>
                <w:szCs w:val="21"/>
              </w:rPr>
            </w:pPr>
            <w:r>
              <w:rPr>
                <w:rFonts w:ascii="宋体" w:hAnsi="宋体"/>
                <w:szCs w:val="21"/>
              </w:rPr>
            </w:r>
            <w:r/>
          </w:p>
        </w:tc>
        <w:tc>
          <w:tcPr>
            <w:tcW w:w="1210" w:type="dxa"/>
            <w:vAlign w:val="top"/>
            <w:textDirection w:val="lrTb"/>
            <w:noWrap w:val="false"/>
          </w:tcPr>
          <w:p>
            <w:pPr>
              <w:pStyle w:val="10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30"/>
              <w:jc w:val="center"/>
              <w:rPr>
                <w:rFonts w:ascii="宋体" w:hAnsi="宋体"/>
                <w:szCs w:val="21"/>
              </w:rPr>
            </w:pPr>
            <w:r>
              <w:rPr>
                <w:rFonts w:ascii="宋体" w:hAnsi="宋体"/>
                <w:szCs w:val="21"/>
              </w:rPr>
            </w:r>
            <w:r/>
          </w:p>
        </w:tc>
        <w:tc>
          <w:tcPr>
            <w:tcW w:w="2551" w:type="dxa"/>
            <w:vAlign w:val="top"/>
            <w:textDirection w:val="lrTb"/>
            <w:noWrap w:val="false"/>
          </w:tcPr>
          <w:p>
            <w:pPr>
              <w:pStyle w:val="1030"/>
              <w:jc w:val="center"/>
              <w:rPr>
                <w:rFonts w:ascii="宋体" w:hAnsi="宋体"/>
                <w:szCs w:val="21"/>
              </w:rPr>
            </w:pPr>
            <w:r>
              <w:rPr>
                <w:rFonts w:ascii="宋体" w:hAnsi="宋体"/>
                <w:szCs w:val="21"/>
              </w:rPr>
            </w:r>
            <w:r/>
          </w:p>
        </w:tc>
        <w:tc>
          <w:tcPr>
            <w:tcW w:w="2701" w:type="dxa"/>
            <w:vAlign w:val="top"/>
            <w:textDirection w:val="lrTb"/>
            <w:noWrap w:val="false"/>
          </w:tcPr>
          <w:p>
            <w:pPr>
              <w:pStyle w:val="1030"/>
              <w:jc w:val="center"/>
              <w:rPr>
                <w:rFonts w:ascii="宋体" w:hAnsi="宋体"/>
                <w:szCs w:val="21"/>
              </w:rPr>
            </w:pPr>
            <w:r>
              <w:rPr>
                <w:rFonts w:ascii="宋体" w:hAnsi="宋体"/>
                <w:szCs w:val="21"/>
              </w:rPr>
            </w:r>
            <w:r/>
          </w:p>
        </w:tc>
        <w:tc>
          <w:tcPr>
            <w:tcW w:w="1458" w:type="dxa"/>
            <w:vAlign w:val="top"/>
            <w:textDirection w:val="lrTb"/>
            <w:noWrap w:val="false"/>
          </w:tcPr>
          <w:p>
            <w:pPr>
              <w:pStyle w:val="1030"/>
              <w:jc w:val="center"/>
              <w:rPr>
                <w:rFonts w:ascii="宋体" w:hAnsi="宋体"/>
                <w:szCs w:val="21"/>
              </w:rPr>
            </w:pPr>
            <w:r>
              <w:rPr>
                <w:rFonts w:ascii="宋体" w:hAnsi="宋体"/>
                <w:szCs w:val="21"/>
              </w:rPr>
            </w:r>
            <w:r/>
          </w:p>
        </w:tc>
        <w:tc>
          <w:tcPr>
            <w:tcW w:w="1210" w:type="dxa"/>
            <w:vAlign w:val="top"/>
            <w:textDirection w:val="lrTb"/>
            <w:noWrap w:val="false"/>
          </w:tcPr>
          <w:p>
            <w:pPr>
              <w:pStyle w:val="10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30"/>
              <w:jc w:val="center"/>
              <w:rPr>
                <w:rFonts w:ascii="宋体" w:hAnsi="宋体"/>
                <w:szCs w:val="21"/>
              </w:rPr>
            </w:pPr>
            <w:r>
              <w:rPr>
                <w:rFonts w:ascii="宋体" w:hAnsi="宋体"/>
                <w:szCs w:val="21"/>
              </w:rPr>
            </w:r>
            <w:r/>
          </w:p>
        </w:tc>
        <w:tc>
          <w:tcPr>
            <w:tcW w:w="2551" w:type="dxa"/>
            <w:vAlign w:val="top"/>
            <w:textDirection w:val="lrTb"/>
            <w:noWrap w:val="false"/>
          </w:tcPr>
          <w:p>
            <w:pPr>
              <w:pStyle w:val="1030"/>
              <w:jc w:val="center"/>
              <w:rPr>
                <w:rFonts w:ascii="宋体" w:hAnsi="宋体"/>
                <w:szCs w:val="21"/>
              </w:rPr>
            </w:pPr>
            <w:r>
              <w:rPr>
                <w:rFonts w:ascii="宋体" w:hAnsi="宋体"/>
                <w:szCs w:val="21"/>
              </w:rPr>
            </w:r>
            <w:r/>
          </w:p>
        </w:tc>
        <w:tc>
          <w:tcPr>
            <w:tcW w:w="2701" w:type="dxa"/>
            <w:vAlign w:val="top"/>
            <w:textDirection w:val="lrTb"/>
            <w:noWrap w:val="false"/>
          </w:tcPr>
          <w:p>
            <w:pPr>
              <w:pStyle w:val="1030"/>
              <w:jc w:val="center"/>
              <w:rPr>
                <w:rFonts w:ascii="宋体" w:hAnsi="宋体"/>
                <w:szCs w:val="21"/>
              </w:rPr>
            </w:pPr>
            <w:r>
              <w:rPr>
                <w:rFonts w:ascii="宋体" w:hAnsi="宋体"/>
                <w:szCs w:val="21"/>
              </w:rPr>
            </w:r>
            <w:r/>
          </w:p>
        </w:tc>
        <w:tc>
          <w:tcPr>
            <w:tcW w:w="1458" w:type="dxa"/>
            <w:vAlign w:val="top"/>
            <w:textDirection w:val="lrTb"/>
            <w:noWrap w:val="false"/>
          </w:tcPr>
          <w:p>
            <w:pPr>
              <w:pStyle w:val="1030"/>
              <w:jc w:val="center"/>
              <w:rPr>
                <w:rFonts w:ascii="宋体" w:hAnsi="宋体"/>
                <w:szCs w:val="21"/>
              </w:rPr>
            </w:pPr>
            <w:r>
              <w:rPr>
                <w:rFonts w:ascii="宋体" w:hAnsi="宋体"/>
                <w:szCs w:val="21"/>
              </w:rPr>
            </w:r>
            <w:r/>
          </w:p>
        </w:tc>
        <w:tc>
          <w:tcPr>
            <w:tcW w:w="1210" w:type="dxa"/>
            <w:vAlign w:val="top"/>
            <w:textDirection w:val="lrTb"/>
            <w:noWrap w:val="false"/>
          </w:tcPr>
          <w:p>
            <w:pPr>
              <w:pStyle w:val="10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30"/>
              <w:jc w:val="center"/>
              <w:rPr>
                <w:rFonts w:ascii="宋体" w:hAnsi="宋体"/>
                <w:szCs w:val="21"/>
              </w:rPr>
            </w:pPr>
            <w:r>
              <w:rPr>
                <w:rFonts w:ascii="宋体" w:hAnsi="宋体"/>
                <w:szCs w:val="21"/>
              </w:rPr>
            </w:r>
            <w:r/>
          </w:p>
        </w:tc>
        <w:tc>
          <w:tcPr>
            <w:tcW w:w="2551" w:type="dxa"/>
            <w:vAlign w:val="top"/>
            <w:textDirection w:val="lrTb"/>
            <w:noWrap w:val="false"/>
          </w:tcPr>
          <w:p>
            <w:pPr>
              <w:pStyle w:val="1030"/>
              <w:jc w:val="center"/>
              <w:rPr>
                <w:rFonts w:ascii="宋体" w:hAnsi="宋体"/>
                <w:szCs w:val="21"/>
              </w:rPr>
            </w:pPr>
            <w:r>
              <w:rPr>
                <w:rFonts w:ascii="宋体" w:hAnsi="宋体"/>
                <w:szCs w:val="21"/>
              </w:rPr>
            </w:r>
            <w:r/>
          </w:p>
        </w:tc>
        <w:tc>
          <w:tcPr>
            <w:tcW w:w="2701" w:type="dxa"/>
            <w:vAlign w:val="top"/>
            <w:textDirection w:val="lrTb"/>
            <w:noWrap w:val="false"/>
          </w:tcPr>
          <w:p>
            <w:pPr>
              <w:pStyle w:val="1030"/>
              <w:jc w:val="center"/>
              <w:rPr>
                <w:rFonts w:ascii="宋体" w:hAnsi="宋体"/>
                <w:szCs w:val="21"/>
              </w:rPr>
            </w:pPr>
            <w:r>
              <w:rPr>
                <w:rFonts w:ascii="宋体" w:hAnsi="宋体"/>
                <w:szCs w:val="21"/>
              </w:rPr>
            </w:r>
            <w:r/>
          </w:p>
        </w:tc>
        <w:tc>
          <w:tcPr>
            <w:tcW w:w="1458" w:type="dxa"/>
            <w:vAlign w:val="top"/>
            <w:textDirection w:val="lrTb"/>
            <w:noWrap w:val="false"/>
          </w:tcPr>
          <w:p>
            <w:pPr>
              <w:pStyle w:val="1030"/>
              <w:jc w:val="center"/>
              <w:rPr>
                <w:rFonts w:ascii="宋体" w:hAnsi="宋体"/>
                <w:szCs w:val="21"/>
              </w:rPr>
            </w:pPr>
            <w:r>
              <w:rPr>
                <w:rFonts w:ascii="宋体" w:hAnsi="宋体"/>
                <w:szCs w:val="21"/>
              </w:rPr>
            </w:r>
            <w:r/>
          </w:p>
        </w:tc>
        <w:tc>
          <w:tcPr>
            <w:tcW w:w="1210" w:type="dxa"/>
            <w:vAlign w:val="top"/>
            <w:textDirection w:val="lrTb"/>
            <w:noWrap w:val="false"/>
          </w:tcPr>
          <w:p>
            <w:pPr>
              <w:pStyle w:val="10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30"/>
              <w:jc w:val="center"/>
              <w:rPr>
                <w:rFonts w:ascii="宋体" w:hAnsi="宋体"/>
                <w:szCs w:val="21"/>
              </w:rPr>
            </w:pPr>
            <w:r>
              <w:rPr>
                <w:rFonts w:ascii="宋体" w:hAnsi="宋体"/>
                <w:szCs w:val="21"/>
              </w:rPr>
            </w:r>
            <w:r/>
          </w:p>
        </w:tc>
        <w:tc>
          <w:tcPr>
            <w:tcW w:w="2551" w:type="dxa"/>
            <w:vAlign w:val="top"/>
            <w:textDirection w:val="lrTb"/>
            <w:noWrap w:val="false"/>
          </w:tcPr>
          <w:p>
            <w:pPr>
              <w:pStyle w:val="1030"/>
              <w:jc w:val="center"/>
              <w:rPr>
                <w:rFonts w:ascii="宋体" w:hAnsi="宋体"/>
                <w:szCs w:val="21"/>
              </w:rPr>
            </w:pPr>
            <w:r>
              <w:rPr>
                <w:rFonts w:ascii="宋体" w:hAnsi="宋体"/>
                <w:szCs w:val="21"/>
              </w:rPr>
            </w:r>
            <w:r/>
          </w:p>
        </w:tc>
        <w:tc>
          <w:tcPr>
            <w:tcW w:w="2701" w:type="dxa"/>
            <w:vAlign w:val="top"/>
            <w:textDirection w:val="lrTb"/>
            <w:noWrap w:val="false"/>
          </w:tcPr>
          <w:p>
            <w:pPr>
              <w:pStyle w:val="1030"/>
              <w:jc w:val="center"/>
              <w:rPr>
                <w:rFonts w:ascii="宋体" w:hAnsi="宋体"/>
                <w:szCs w:val="21"/>
              </w:rPr>
            </w:pPr>
            <w:r>
              <w:rPr>
                <w:rFonts w:ascii="宋体" w:hAnsi="宋体"/>
                <w:szCs w:val="21"/>
              </w:rPr>
            </w:r>
            <w:r/>
          </w:p>
        </w:tc>
        <w:tc>
          <w:tcPr>
            <w:tcW w:w="1458" w:type="dxa"/>
            <w:vAlign w:val="top"/>
            <w:textDirection w:val="lrTb"/>
            <w:noWrap w:val="false"/>
          </w:tcPr>
          <w:p>
            <w:pPr>
              <w:pStyle w:val="1030"/>
              <w:jc w:val="center"/>
              <w:rPr>
                <w:rFonts w:ascii="宋体" w:hAnsi="宋体"/>
                <w:szCs w:val="21"/>
              </w:rPr>
            </w:pPr>
            <w:r>
              <w:rPr>
                <w:rFonts w:ascii="宋体" w:hAnsi="宋体"/>
                <w:szCs w:val="21"/>
              </w:rPr>
            </w:r>
            <w:r/>
          </w:p>
        </w:tc>
        <w:tc>
          <w:tcPr>
            <w:tcW w:w="1210" w:type="dxa"/>
            <w:vAlign w:val="top"/>
            <w:textDirection w:val="lrTb"/>
            <w:noWrap w:val="false"/>
          </w:tcPr>
          <w:p>
            <w:pPr>
              <w:pStyle w:val="10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30"/>
              <w:jc w:val="center"/>
              <w:rPr>
                <w:rFonts w:ascii="宋体" w:hAnsi="宋体"/>
                <w:szCs w:val="21"/>
              </w:rPr>
            </w:pPr>
            <w:r>
              <w:rPr>
                <w:rFonts w:ascii="宋体" w:hAnsi="宋体"/>
                <w:szCs w:val="21"/>
              </w:rPr>
            </w:r>
            <w:r/>
          </w:p>
        </w:tc>
        <w:tc>
          <w:tcPr>
            <w:tcW w:w="2551" w:type="dxa"/>
            <w:vAlign w:val="top"/>
            <w:textDirection w:val="lrTb"/>
            <w:noWrap w:val="false"/>
          </w:tcPr>
          <w:p>
            <w:pPr>
              <w:pStyle w:val="1030"/>
              <w:jc w:val="center"/>
              <w:rPr>
                <w:rFonts w:ascii="宋体" w:hAnsi="宋体"/>
                <w:szCs w:val="21"/>
              </w:rPr>
            </w:pPr>
            <w:r>
              <w:rPr>
                <w:rFonts w:ascii="宋体" w:hAnsi="宋体"/>
                <w:szCs w:val="21"/>
              </w:rPr>
            </w:r>
            <w:r/>
          </w:p>
        </w:tc>
        <w:tc>
          <w:tcPr>
            <w:tcW w:w="2701" w:type="dxa"/>
            <w:vAlign w:val="top"/>
            <w:textDirection w:val="lrTb"/>
            <w:noWrap w:val="false"/>
          </w:tcPr>
          <w:p>
            <w:pPr>
              <w:pStyle w:val="1030"/>
              <w:jc w:val="center"/>
              <w:rPr>
                <w:rFonts w:ascii="宋体" w:hAnsi="宋体"/>
                <w:szCs w:val="21"/>
              </w:rPr>
            </w:pPr>
            <w:r>
              <w:rPr>
                <w:rFonts w:ascii="宋体" w:hAnsi="宋体"/>
                <w:szCs w:val="21"/>
              </w:rPr>
            </w:r>
            <w:r/>
          </w:p>
        </w:tc>
        <w:tc>
          <w:tcPr>
            <w:tcW w:w="1458" w:type="dxa"/>
            <w:vAlign w:val="top"/>
            <w:textDirection w:val="lrTb"/>
            <w:noWrap w:val="false"/>
          </w:tcPr>
          <w:p>
            <w:pPr>
              <w:pStyle w:val="1030"/>
              <w:jc w:val="center"/>
              <w:rPr>
                <w:rFonts w:ascii="宋体" w:hAnsi="宋体"/>
                <w:szCs w:val="21"/>
              </w:rPr>
            </w:pPr>
            <w:r>
              <w:rPr>
                <w:rFonts w:ascii="宋体" w:hAnsi="宋体"/>
                <w:szCs w:val="21"/>
              </w:rPr>
            </w:r>
            <w:r/>
          </w:p>
        </w:tc>
        <w:tc>
          <w:tcPr>
            <w:tcW w:w="1210" w:type="dxa"/>
            <w:vAlign w:val="top"/>
            <w:textDirection w:val="lrTb"/>
            <w:noWrap w:val="false"/>
          </w:tcPr>
          <w:p>
            <w:pPr>
              <w:pStyle w:val="10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30"/>
              <w:jc w:val="center"/>
              <w:rPr>
                <w:rFonts w:ascii="宋体" w:hAnsi="宋体"/>
                <w:szCs w:val="21"/>
              </w:rPr>
            </w:pPr>
            <w:r>
              <w:rPr>
                <w:rFonts w:ascii="宋体" w:hAnsi="宋体"/>
                <w:szCs w:val="21"/>
              </w:rPr>
            </w:r>
            <w:r/>
          </w:p>
        </w:tc>
        <w:tc>
          <w:tcPr>
            <w:tcW w:w="2551" w:type="dxa"/>
            <w:vAlign w:val="top"/>
            <w:textDirection w:val="lrTb"/>
            <w:noWrap w:val="false"/>
          </w:tcPr>
          <w:p>
            <w:pPr>
              <w:pStyle w:val="1030"/>
              <w:jc w:val="center"/>
              <w:rPr>
                <w:rFonts w:ascii="宋体" w:hAnsi="宋体"/>
                <w:szCs w:val="21"/>
              </w:rPr>
            </w:pPr>
            <w:r>
              <w:rPr>
                <w:rFonts w:ascii="宋体" w:hAnsi="宋体"/>
                <w:szCs w:val="21"/>
              </w:rPr>
            </w:r>
            <w:r/>
          </w:p>
        </w:tc>
        <w:tc>
          <w:tcPr>
            <w:tcW w:w="2701" w:type="dxa"/>
            <w:vAlign w:val="top"/>
            <w:textDirection w:val="lrTb"/>
            <w:noWrap w:val="false"/>
          </w:tcPr>
          <w:p>
            <w:pPr>
              <w:pStyle w:val="1030"/>
              <w:jc w:val="center"/>
              <w:rPr>
                <w:rFonts w:ascii="宋体" w:hAnsi="宋体"/>
                <w:szCs w:val="21"/>
              </w:rPr>
            </w:pPr>
            <w:r>
              <w:rPr>
                <w:rFonts w:ascii="宋体" w:hAnsi="宋体"/>
                <w:szCs w:val="21"/>
              </w:rPr>
            </w:r>
            <w:r/>
          </w:p>
        </w:tc>
        <w:tc>
          <w:tcPr>
            <w:tcW w:w="1458" w:type="dxa"/>
            <w:vAlign w:val="top"/>
            <w:textDirection w:val="lrTb"/>
            <w:noWrap w:val="false"/>
          </w:tcPr>
          <w:p>
            <w:pPr>
              <w:pStyle w:val="1030"/>
              <w:jc w:val="center"/>
              <w:rPr>
                <w:rFonts w:ascii="宋体" w:hAnsi="宋体"/>
                <w:szCs w:val="21"/>
              </w:rPr>
            </w:pPr>
            <w:r>
              <w:rPr>
                <w:rFonts w:ascii="宋体" w:hAnsi="宋体"/>
                <w:szCs w:val="21"/>
              </w:rPr>
            </w:r>
            <w:r/>
          </w:p>
        </w:tc>
        <w:tc>
          <w:tcPr>
            <w:tcW w:w="1210" w:type="dxa"/>
            <w:vAlign w:val="top"/>
            <w:textDirection w:val="lrTb"/>
            <w:noWrap w:val="false"/>
          </w:tcPr>
          <w:p>
            <w:pPr>
              <w:pStyle w:val="10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30"/>
              <w:jc w:val="center"/>
              <w:rPr>
                <w:rFonts w:ascii="宋体" w:hAnsi="宋体"/>
                <w:szCs w:val="21"/>
              </w:rPr>
            </w:pPr>
            <w:r>
              <w:rPr>
                <w:rFonts w:ascii="宋体" w:hAnsi="宋体"/>
                <w:szCs w:val="21"/>
              </w:rPr>
            </w:r>
            <w:r/>
          </w:p>
        </w:tc>
        <w:tc>
          <w:tcPr>
            <w:tcW w:w="2551" w:type="dxa"/>
            <w:vAlign w:val="top"/>
            <w:textDirection w:val="lrTb"/>
            <w:noWrap w:val="false"/>
          </w:tcPr>
          <w:p>
            <w:pPr>
              <w:pStyle w:val="1030"/>
              <w:jc w:val="center"/>
              <w:rPr>
                <w:rFonts w:ascii="宋体" w:hAnsi="宋体"/>
                <w:szCs w:val="21"/>
              </w:rPr>
            </w:pPr>
            <w:r>
              <w:rPr>
                <w:rFonts w:ascii="宋体" w:hAnsi="宋体"/>
                <w:szCs w:val="21"/>
              </w:rPr>
            </w:r>
            <w:r/>
          </w:p>
        </w:tc>
        <w:tc>
          <w:tcPr>
            <w:tcW w:w="2701" w:type="dxa"/>
            <w:vAlign w:val="top"/>
            <w:textDirection w:val="lrTb"/>
            <w:noWrap w:val="false"/>
          </w:tcPr>
          <w:p>
            <w:pPr>
              <w:pStyle w:val="1030"/>
              <w:jc w:val="center"/>
              <w:rPr>
                <w:rFonts w:ascii="宋体" w:hAnsi="宋体"/>
                <w:szCs w:val="21"/>
              </w:rPr>
            </w:pPr>
            <w:r>
              <w:rPr>
                <w:rFonts w:ascii="宋体" w:hAnsi="宋体"/>
                <w:szCs w:val="21"/>
              </w:rPr>
            </w:r>
            <w:r/>
          </w:p>
        </w:tc>
        <w:tc>
          <w:tcPr>
            <w:tcW w:w="1458" w:type="dxa"/>
            <w:vAlign w:val="top"/>
            <w:textDirection w:val="lrTb"/>
            <w:noWrap w:val="false"/>
          </w:tcPr>
          <w:p>
            <w:pPr>
              <w:pStyle w:val="1030"/>
              <w:jc w:val="center"/>
              <w:rPr>
                <w:rFonts w:ascii="宋体" w:hAnsi="宋体"/>
                <w:szCs w:val="21"/>
              </w:rPr>
            </w:pPr>
            <w:r>
              <w:rPr>
                <w:rFonts w:ascii="宋体" w:hAnsi="宋体"/>
                <w:szCs w:val="21"/>
              </w:rPr>
            </w:r>
            <w:r/>
          </w:p>
        </w:tc>
        <w:tc>
          <w:tcPr>
            <w:tcW w:w="1210" w:type="dxa"/>
            <w:vAlign w:val="top"/>
            <w:textDirection w:val="lrTb"/>
            <w:noWrap w:val="false"/>
          </w:tcPr>
          <w:p>
            <w:pPr>
              <w:pStyle w:val="1030"/>
              <w:jc w:val="center"/>
              <w:rPr>
                <w:rFonts w:ascii="宋体" w:hAnsi="宋体"/>
                <w:szCs w:val="21"/>
              </w:rPr>
            </w:pPr>
            <w:r>
              <w:rPr>
                <w:rFonts w:ascii="宋体" w:hAnsi="宋体"/>
                <w:szCs w:val="21"/>
              </w:rPr>
            </w:r>
            <w:r/>
          </w:p>
        </w:tc>
      </w:tr>
    </w:tbl>
    <w:p>
      <w:pPr>
        <w:pStyle w:val="1030"/>
        <w:rPr>
          <w:rFonts w:ascii="宋体" w:hAnsi="宋体"/>
          <w:sz w:val="24"/>
          <w:szCs w:val="24"/>
        </w:rPr>
      </w:pPr>
      <w:r>
        <w:rPr>
          <w:rFonts w:ascii="宋体" w:hAnsi="宋体"/>
          <w:sz w:val="24"/>
          <w:szCs w:val="24"/>
        </w:rPr>
      </w:r>
      <w:r/>
    </w:p>
    <w:p>
      <w:pPr>
        <w:pStyle w:val="1030"/>
        <w:spacing w:line="360" w:lineRule="auto"/>
        <w:rPr>
          <w:rFonts w:hint="eastAsia" w:ascii="宋体" w:hAnsi="宋体"/>
          <w:sz w:val="21"/>
          <w:szCs w:val="21"/>
        </w:rPr>
      </w:pPr>
      <w:r>
        <w:rPr>
          <w:rFonts w:hint="eastAsia" w:ascii="宋体" w:hAnsi="宋体"/>
          <w:sz w:val="21"/>
          <w:szCs w:val="21"/>
        </w:rPr>
        <w:t xml:space="preserve">注：1、如有偏离，需在本表详细描述偏离情况；</w:t>
      </w:r>
      <w:r>
        <w:rPr>
          <w:rFonts w:hint="eastAsia" w:ascii="宋体" w:hAnsi="宋体"/>
          <w:sz w:val="21"/>
          <w:szCs w:val="21"/>
        </w:rPr>
      </w:r>
      <w:r/>
    </w:p>
    <w:p>
      <w:pPr>
        <w:pStyle w:val="1030"/>
        <w:ind w:firstLine="480"/>
        <w:spacing w:line="360" w:lineRule="auto"/>
        <w:rPr>
          <w:rFonts w:ascii="宋体" w:hAnsi="宋体"/>
          <w:sz w:val="21"/>
          <w:szCs w:val="21"/>
        </w:rPr>
      </w:pPr>
      <w:r>
        <w:rPr>
          <w:rFonts w:hint="eastAsia" w:ascii="宋体" w:hAnsi="宋体"/>
          <w:sz w:val="21"/>
          <w:szCs w:val="21"/>
        </w:rPr>
        <w:t xml:space="preserve">2、如投标人完全响应招标文件要求，可填写“无偏离”或未填写则默认投标人完全响应招标要求；</w:t>
      </w:r>
      <w:r>
        <w:rPr>
          <w:rFonts w:ascii="宋体" w:hAnsi="宋体"/>
          <w:sz w:val="21"/>
          <w:szCs w:val="21"/>
        </w:rPr>
      </w:r>
      <w:r/>
    </w:p>
    <w:p>
      <w:pPr>
        <w:pStyle w:val="1030"/>
        <w:ind w:firstLine="480"/>
        <w:spacing w:line="360" w:lineRule="auto"/>
        <w:rPr>
          <w:rFonts w:ascii="宋体" w:hAnsi="宋体"/>
          <w:sz w:val="21"/>
          <w:szCs w:val="21"/>
        </w:rPr>
      </w:pPr>
      <w:r>
        <w:rPr>
          <w:rFonts w:hint="eastAsia" w:ascii="宋体" w:hAnsi="宋体"/>
          <w:sz w:val="21"/>
          <w:szCs w:val="21"/>
        </w:rPr>
        <w:t xml:space="preserve">3、行数不够，可自行添加。</w:t>
      </w:r>
      <w:r>
        <w:rPr>
          <w:rFonts w:ascii="宋体" w:hAnsi="宋体"/>
          <w:sz w:val="21"/>
          <w:szCs w:val="21"/>
        </w:rPr>
      </w:r>
      <w:r/>
    </w:p>
    <w:p>
      <w:pPr>
        <w:pStyle w:val="1030"/>
        <w:jc w:val="center"/>
        <w:rPr>
          <w:rFonts w:ascii="黑体" w:hAnsi="Arial" w:eastAsia="黑体"/>
          <w:b/>
          <w:sz w:val="36"/>
        </w:rPr>
      </w:pPr>
      <w:r>
        <w:rPr>
          <w:rFonts w:ascii="黑体" w:hAnsi="Arial" w:eastAsia="黑体"/>
          <w:b/>
          <w:sz w:val="36"/>
        </w:rPr>
      </w:r>
      <w:r/>
    </w:p>
    <w:p>
      <w:pPr>
        <w:pStyle w:val="1030"/>
        <w:jc w:val="center"/>
        <w:rPr>
          <w:rFonts w:ascii="黑体" w:hAnsi="Arial" w:eastAsia="黑体"/>
          <w:b/>
          <w:sz w:val="36"/>
        </w:rPr>
      </w:pPr>
      <w:r>
        <w:rPr>
          <w:rFonts w:ascii="黑体" w:hAnsi="Arial" w:eastAsia="黑体"/>
          <w:b/>
          <w:sz w:val="36"/>
        </w:rPr>
      </w:r>
      <w:r/>
    </w:p>
    <w:p>
      <w:pPr>
        <w:pStyle w:val="1030"/>
        <w:jc w:val="center"/>
        <w:rPr>
          <w:rFonts w:ascii="黑体" w:hAnsi="Arial" w:eastAsia="黑体"/>
          <w:b/>
          <w:sz w:val="36"/>
        </w:rPr>
      </w:pPr>
      <w:r>
        <w:rPr>
          <w:rFonts w:ascii="黑体" w:hAnsi="Arial" w:eastAsia="黑体"/>
          <w:b/>
          <w:sz w:val="36"/>
        </w:rPr>
      </w:r>
      <w:r/>
    </w:p>
    <w:p>
      <w:pPr>
        <w:pStyle w:val="1030"/>
        <w:jc w:val="center"/>
        <w:rPr>
          <w:rFonts w:ascii="黑体" w:hAnsi="Arial" w:eastAsia="黑体"/>
          <w:b/>
          <w:sz w:val="36"/>
        </w:rPr>
      </w:pPr>
      <w:r>
        <w:rPr>
          <w:rFonts w:ascii="黑体" w:hAnsi="Arial" w:eastAsia="黑体"/>
          <w:b/>
          <w:sz w:val="36"/>
        </w:rPr>
      </w:r>
      <w:r/>
    </w:p>
    <w:p>
      <w:pPr>
        <w:pStyle w:val="1030"/>
        <w:rPr>
          <w:rFonts w:ascii="黑体" w:hAnsi="Arial" w:eastAsia="黑体"/>
          <w:sz w:val="32"/>
        </w:rPr>
      </w:pPr>
      <w:r>
        <w:rPr>
          <w:rFonts w:ascii="黑体" w:hAnsi="Arial" w:eastAsia="黑体"/>
          <w:sz w:val="32"/>
        </w:rPr>
      </w:r>
      <w:r/>
    </w:p>
    <w:p>
      <w:pPr>
        <w:pStyle w:val="1030"/>
        <w:rPr>
          <w:rFonts w:ascii="黑体" w:hAnsi="Arial" w:eastAsia="黑体"/>
          <w:sz w:val="32"/>
        </w:rPr>
      </w:pPr>
      <w:r>
        <w:rPr>
          <w:rFonts w:ascii="黑体" w:hAnsi="Arial" w:eastAsia="黑体"/>
          <w:sz w:val="32"/>
        </w:rPr>
      </w:r>
      <w:r/>
    </w:p>
    <w:p>
      <w:pPr>
        <w:pStyle w:val="1030"/>
        <w:jc w:val="center"/>
        <w:rPr>
          <w:rFonts w:ascii="宋体" w:hAnsi="宋体"/>
          <w:b/>
          <w:bCs/>
          <w:sz w:val="32"/>
        </w:rPr>
      </w:pPr>
      <w:r>
        <w:rPr>
          <w:rFonts w:hint="eastAsia" w:ascii="黑体" w:hAnsi="Arial" w:eastAsia="黑体"/>
          <w:sz w:val="32"/>
        </w:rPr>
        <w:br w:type="page" w:clear="all"/>
      </w:r>
      <w:bookmarkStart w:id="90" w:name="_Hlt26955054"/>
      <w:r/>
      <w:bookmarkEnd w:id="90"/>
      <w:r>
        <w:rPr>
          <w:rFonts w:hint="eastAsia" w:ascii="宋体" w:hAnsi="宋体"/>
          <w:b/>
          <w:bCs/>
          <w:sz w:val="32"/>
        </w:rPr>
        <w:t xml:space="preserve">七、商务条款响应及偏离表</w:t>
      </w:r>
      <w:r>
        <w:rPr>
          <w:rFonts w:ascii="宋体" w:hAnsi="宋体"/>
          <w:b/>
          <w:bCs/>
          <w:sz w:val="32"/>
        </w:rPr>
      </w:r>
      <w:r/>
    </w:p>
    <w:tbl>
      <w:tblPr>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pStyle w:val="1030"/>
              <w:jc w:val="center"/>
              <w:rPr>
                <w:rFonts w:ascii="仿宋_GB2312" w:hAnsi="宋体" w:eastAsia="仿宋_GB2312"/>
                <w:szCs w:val="21"/>
              </w:rPr>
            </w:pPr>
            <w:r/>
            <w:bookmarkStart w:id="91" w:name="_Hlt26671372"/>
            <w:r/>
            <w:bookmarkEnd w:id="91"/>
            <w:r/>
            <w:bookmarkStart w:id="92" w:name="_Hlt26609391"/>
            <w:r/>
            <w:bookmarkEnd w:id="92"/>
            <w:r/>
            <w:bookmarkStart w:id="93" w:name="_Hlt26782999"/>
            <w:r/>
            <w:bookmarkEnd w:id="93"/>
            <w:r/>
            <w:bookmarkStart w:id="94" w:name="_Hlt24879081"/>
            <w:r/>
            <w:bookmarkEnd w:id="94"/>
            <w:r/>
            <w:bookmarkStart w:id="95" w:name="_Hlt26671343"/>
            <w:r/>
            <w:bookmarkEnd w:id="95"/>
            <w:r/>
            <w:bookmarkStart w:id="96" w:name="_Hlt26955064"/>
            <w:r/>
            <w:bookmarkEnd w:id="96"/>
            <w:r/>
            <w:bookmarkStart w:id="97" w:name="_Hlt26580838"/>
            <w:r/>
            <w:bookmarkEnd w:id="97"/>
            <w:r/>
            <w:bookmarkStart w:id="98" w:name="_Hlt26955056"/>
            <w:r/>
            <w:bookmarkEnd w:id="98"/>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1030"/>
              <w:jc w:val="center"/>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W w:w="1837" w:type="dxa"/>
            <w:vAlign w:val="top"/>
            <w:textDirection w:val="lrTb"/>
            <w:noWrap w:val="false"/>
          </w:tcPr>
          <w:p>
            <w:pPr>
              <w:pStyle w:val="1030"/>
              <w:jc w:val="center"/>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614" w:type="dxa"/>
            <w:vAlign w:val="top"/>
            <w:textDirection w:val="lrTb"/>
            <w:noWrap w:val="false"/>
          </w:tcPr>
          <w:p>
            <w:pPr>
              <w:pStyle w:val="1030"/>
              <w:jc w:val="center"/>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469"/>
        </w:trPr>
        <w:tc>
          <w:tcPr>
            <w:tcW w:w="1638" w:type="dxa"/>
            <w:vAlign w:val="top"/>
            <w:textDirection w:val="lrTb"/>
            <w:noWrap w:val="false"/>
          </w:tcPr>
          <w:p>
            <w:pPr>
              <w:pStyle w:val="1030"/>
              <w:jc w:val="center"/>
              <w:rPr>
                <w:rFonts w:ascii="仿宋_GB2312" w:hAnsi="宋体" w:eastAsia="仿宋_GB2312"/>
                <w:szCs w:val="21"/>
              </w:rPr>
            </w:pPr>
            <w:r>
              <w:rPr>
                <w:rFonts w:hint="eastAsia" w:ascii="仿宋_GB2312" w:hAnsi="宋体"/>
                <w:szCs w:val="21"/>
              </w:rPr>
              <w:t xml:space="preserve">质保期</w:t>
            </w:r>
            <w:r>
              <w:rPr>
                <w:rFonts w:ascii="仿宋_GB2312" w:hAnsi="宋体" w:eastAsia="仿宋_GB2312"/>
                <w:szCs w:val="21"/>
              </w:rPr>
            </w:r>
            <w:r/>
          </w:p>
        </w:tc>
        <w:tc>
          <w:tcPr>
            <w:tcW w:w="2502" w:type="dxa"/>
            <w:vAlign w:val="top"/>
            <w:textDirection w:val="lrTb"/>
            <w:noWrap w:val="false"/>
          </w:tcPr>
          <w:p>
            <w:pPr>
              <w:pStyle w:val="1030"/>
              <w:jc w:val="center"/>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030"/>
              <w:jc w:val="center"/>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1030"/>
              <w:jc w:val="center"/>
              <w:rPr>
                <w:rFonts w:ascii="仿宋_GB2312" w:hAnsi="宋体" w:eastAsia="仿宋_GB2312"/>
                <w:szCs w:val="21"/>
              </w:rPr>
            </w:pPr>
            <w:r>
              <w:rPr>
                <w:rFonts w:ascii="仿宋_GB2312" w:hAnsi="宋体" w:eastAsia="仿宋_GB2312"/>
                <w:szCs w:val="21"/>
              </w:rPr>
            </w:r>
            <w:r/>
          </w:p>
        </w:tc>
      </w:tr>
      <w:tr>
        <w:trPr>
          <w:trHeight w:val="719"/>
        </w:trPr>
        <w:tc>
          <w:tcPr>
            <w:tcW w:w="1638" w:type="dxa"/>
            <w:vAlign w:val="top"/>
            <w:textDirection w:val="lrTb"/>
            <w:noWrap w:val="false"/>
          </w:tcPr>
          <w:p>
            <w:pPr>
              <w:pStyle w:val="1030"/>
              <w:jc w:val="center"/>
              <w:rPr>
                <w:rFonts w:ascii="仿宋_GB2312" w:hAnsi="宋体" w:eastAsia="仿宋_GB2312"/>
                <w:szCs w:val="21"/>
              </w:rPr>
            </w:pPr>
            <w:r>
              <w:rPr>
                <w:rFonts w:hint="eastAsia" w:ascii="仿宋_GB2312"/>
                <w:szCs w:val="21"/>
              </w:rPr>
              <w:t xml:space="preserve">售后技术服务要求</w:t>
            </w:r>
            <w:r>
              <w:rPr>
                <w:rFonts w:ascii="仿宋_GB2312" w:hAnsi="宋体" w:eastAsia="仿宋_GB2312"/>
                <w:szCs w:val="21"/>
              </w:rPr>
            </w:r>
            <w:r/>
          </w:p>
        </w:tc>
        <w:tc>
          <w:tcPr>
            <w:tcW w:w="2502" w:type="dxa"/>
            <w:vAlign w:val="top"/>
            <w:textDirection w:val="lrTb"/>
            <w:noWrap w:val="false"/>
          </w:tcPr>
          <w:p>
            <w:pPr>
              <w:pStyle w:val="1030"/>
              <w:jc w:val="center"/>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030"/>
              <w:jc w:val="center"/>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1030"/>
              <w:jc w:val="center"/>
              <w:rPr>
                <w:rFonts w:ascii="仿宋_GB2312" w:hAnsi="宋体" w:eastAsia="仿宋_GB2312"/>
                <w:szCs w:val="21"/>
              </w:rPr>
            </w:pPr>
            <w:r>
              <w:rPr>
                <w:rFonts w:ascii="仿宋_GB2312" w:hAnsi="宋体" w:eastAsia="仿宋_GB2312"/>
                <w:szCs w:val="21"/>
              </w:rPr>
            </w:r>
            <w:r/>
          </w:p>
        </w:tc>
      </w:tr>
      <w:tr>
        <w:trPr>
          <w:trHeight w:val="540"/>
        </w:trPr>
        <w:tc>
          <w:tcPr>
            <w:tcW w:w="1638" w:type="dxa"/>
            <w:vAlign w:val="top"/>
            <w:textDirection w:val="lrTb"/>
            <w:noWrap w:val="false"/>
          </w:tcPr>
          <w:p>
            <w:pPr>
              <w:pStyle w:val="1030"/>
              <w:jc w:val="center"/>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W w:w="2502" w:type="dxa"/>
            <w:vAlign w:val="top"/>
            <w:textDirection w:val="lrTb"/>
            <w:noWrap w:val="false"/>
          </w:tcPr>
          <w:p>
            <w:pPr>
              <w:pStyle w:val="1030"/>
              <w:jc w:val="center"/>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030"/>
              <w:ind w:left="43"/>
              <w:jc w:val="center"/>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1030"/>
              <w:ind w:left="43"/>
              <w:jc w:val="center"/>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1030"/>
              <w:jc w:val="center"/>
              <w:rPr>
                <w:rFonts w:ascii="仿宋_GB2312"/>
                <w:szCs w:val="21"/>
              </w:rPr>
            </w:pPr>
            <w:r>
              <w:rPr>
                <w:rFonts w:hint="eastAsia" w:ascii="仿宋_GB2312"/>
                <w:szCs w:val="21"/>
              </w:rPr>
              <w:t xml:space="preserve">交货方式</w:t>
            </w:r>
            <w:r>
              <w:rPr>
                <w:rFonts w:ascii="仿宋_GB2312"/>
                <w:szCs w:val="21"/>
              </w:rPr>
            </w:r>
            <w:r/>
          </w:p>
        </w:tc>
        <w:tc>
          <w:tcPr>
            <w:tcW w:w="2502" w:type="dxa"/>
            <w:vAlign w:val="top"/>
            <w:textDirection w:val="lrTb"/>
            <w:noWrap w:val="false"/>
          </w:tcPr>
          <w:p>
            <w:pPr>
              <w:pStyle w:val="1030"/>
              <w:rPr>
                <w:rFonts w:ascii="仿宋_GB2312" w:hAnsi="宋体"/>
                <w:szCs w:val="21"/>
              </w:rPr>
            </w:pPr>
            <w:r>
              <w:rPr>
                <w:rFonts w:ascii="仿宋_GB2312" w:hAnsi="宋体"/>
                <w:szCs w:val="21"/>
              </w:rPr>
            </w:r>
            <w:r/>
          </w:p>
        </w:tc>
        <w:tc>
          <w:tcPr>
            <w:tcW w:w="1837" w:type="dxa"/>
            <w:vAlign w:val="top"/>
            <w:textDirection w:val="lrTb"/>
            <w:noWrap w:val="false"/>
          </w:tcPr>
          <w:p>
            <w:pPr>
              <w:pStyle w:val="1030"/>
              <w:ind w:left="43"/>
              <w:jc w:val="center"/>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1030"/>
              <w:ind w:left="43"/>
              <w:jc w:val="center"/>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1030"/>
              <w:jc w:val="center"/>
              <w:rPr>
                <w:rFonts w:ascii="仿宋_GB2312"/>
                <w:szCs w:val="21"/>
              </w:rPr>
            </w:pPr>
            <w:r>
              <w:rPr>
                <w:rFonts w:hint="eastAsia" w:ascii="仿宋_GB2312"/>
                <w:szCs w:val="21"/>
              </w:rPr>
              <w:t xml:space="preserve">交货地点</w:t>
            </w:r>
            <w:r>
              <w:rPr>
                <w:rFonts w:ascii="仿宋_GB2312"/>
                <w:szCs w:val="21"/>
              </w:rPr>
            </w:r>
            <w:r/>
          </w:p>
        </w:tc>
        <w:tc>
          <w:tcPr>
            <w:tcW w:w="2502" w:type="dxa"/>
            <w:vAlign w:val="top"/>
            <w:textDirection w:val="lrTb"/>
            <w:noWrap w:val="false"/>
          </w:tcPr>
          <w:p>
            <w:pPr>
              <w:pStyle w:val="1030"/>
              <w:rPr>
                <w:rFonts w:ascii="仿宋_GB2312" w:hAnsi="宋体"/>
                <w:szCs w:val="21"/>
              </w:rPr>
            </w:pPr>
            <w:r>
              <w:rPr>
                <w:rFonts w:ascii="仿宋_GB2312" w:hAnsi="宋体"/>
                <w:szCs w:val="21"/>
              </w:rPr>
            </w:r>
            <w:r/>
          </w:p>
        </w:tc>
        <w:tc>
          <w:tcPr>
            <w:tcW w:w="1837" w:type="dxa"/>
            <w:vAlign w:val="top"/>
            <w:textDirection w:val="lrTb"/>
            <w:noWrap w:val="false"/>
          </w:tcPr>
          <w:p>
            <w:pPr>
              <w:pStyle w:val="1030"/>
              <w:ind w:left="43"/>
              <w:jc w:val="center"/>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1030"/>
              <w:ind w:left="43"/>
              <w:jc w:val="center"/>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1030"/>
              <w:jc w:val="center"/>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1030"/>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030"/>
              <w:jc w:val="center"/>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1030"/>
              <w:jc w:val="center"/>
              <w:rPr>
                <w:rFonts w:ascii="仿宋_GB2312" w:hAnsi="宋体" w:eastAsia="仿宋_GB2312"/>
                <w:szCs w:val="21"/>
              </w:rPr>
            </w:pPr>
            <w:r>
              <w:rPr>
                <w:rFonts w:ascii="仿宋_GB2312" w:hAnsi="宋体" w:eastAsia="仿宋_GB2312"/>
                <w:szCs w:val="21"/>
              </w:rPr>
            </w:r>
            <w:r/>
          </w:p>
        </w:tc>
      </w:tr>
    </w:tbl>
    <w:p>
      <w:pPr>
        <w:pStyle w:val="1044"/>
        <w:ind w:firstLine="480"/>
        <w:rPr>
          <w:rFonts w:ascii="宋体" w:hAnsi="宋体"/>
          <w:sz w:val="24"/>
        </w:rPr>
      </w:pPr>
      <w:r/>
      <w:bookmarkStart w:id="99" w:name="_Hlt26609389"/>
      <w:r/>
      <w:bookmarkEnd w:id="99"/>
      <w:r/>
      <w:bookmarkStart w:id="100" w:name="_Hlt26671374"/>
      <w:r/>
      <w:bookmarkEnd w:id="100"/>
      <w:r/>
      <w:bookmarkStart w:id="101" w:name="_Hlt26955066"/>
      <w:r/>
      <w:bookmarkEnd w:id="101"/>
      <w:r/>
      <w:bookmarkStart w:id="102" w:name="_Toc462564146"/>
      <w:r>
        <w:rPr>
          <w:rFonts w:ascii="宋体" w:hAnsi="宋体"/>
          <w:sz w:val="24"/>
        </w:rPr>
      </w:r>
      <w:r/>
    </w:p>
    <w:p>
      <w:pPr>
        <w:pStyle w:val="1030"/>
        <w:spacing w:line="360" w:lineRule="auto"/>
        <w:rPr>
          <w:rFonts w:hint="eastAsia" w:ascii="宋体" w:hAnsi="宋体"/>
          <w:sz w:val="21"/>
          <w:szCs w:val="21"/>
        </w:rPr>
      </w:pPr>
      <w:r>
        <w:rPr>
          <w:rFonts w:hint="eastAsia" w:ascii="宋体" w:hAnsi="宋体"/>
          <w:sz w:val="21"/>
          <w:szCs w:val="21"/>
        </w:rPr>
        <w:t xml:space="preserve">注：1、如有偏离，需在本表详细描述偏离情况；</w:t>
      </w:r>
      <w:r>
        <w:rPr>
          <w:rFonts w:hint="eastAsia" w:ascii="宋体" w:hAnsi="宋体"/>
          <w:sz w:val="21"/>
          <w:szCs w:val="21"/>
        </w:rPr>
      </w:r>
      <w:r/>
    </w:p>
    <w:p>
      <w:pPr>
        <w:pStyle w:val="1030"/>
        <w:ind w:firstLine="480"/>
        <w:spacing w:line="360" w:lineRule="auto"/>
        <w:rPr>
          <w:rFonts w:ascii="宋体" w:hAnsi="宋体"/>
          <w:sz w:val="21"/>
          <w:szCs w:val="21"/>
        </w:rPr>
      </w:pPr>
      <w:r>
        <w:rPr>
          <w:rFonts w:hint="eastAsia" w:ascii="宋体" w:hAnsi="宋体"/>
          <w:sz w:val="21"/>
          <w:szCs w:val="21"/>
        </w:rPr>
        <w:t xml:space="preserve">2、如投标人完全响应招标文件要求，可填写“无偏离”或未填写则默认投标人完全响应招标要求；</w:t>
      </w:r>
      <w:r>
        <w:rPr>
          <w:rFonts w:ascii="宋体" w:hAnsi="宋体"/>
          <w:sz w:val="21"/>
          <w:szCs w:val="21"/>
        </w:rPr>
      </w:r>
      <w:r/>
    </w:p>
    <w:p>
      <w:pPr>
        <w:pStyle w:val="1030"/>
        <w:ind w:firstLine="480"/>
        <w:spacing w:line="360" w:lineRule="auto"/>
        <w:rPr>
          <w:rFonts w:ascii="宋体" w:hAnsi="宋体"/>
          <w:sz w:val="21"/>
          <w:szCs w:val="21"/>
        </w:rPr>
      </w:pPr>
      <w:r>
        <w:rPr>
          <w:rFonts w:hint="eastAsia" w:ascii="宋体" w:hAnsi="宋体"/>
          <w:sz w:val="21"/>
          <w:szCs w:val="21"/>
        </w:rPr>
        <w:t xml:space="preserve">3、行数不够，可自行添加。</w:t>
      </w:r>
      <w:r>
        <w:rPr>
          <w:rFonts w:ascii="宋体" w:hAnsi="宋体"/>
          <w:sz w:val="21"/>
          <w:szCs w:val="21"/>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hint="eastAsia" w:ascii="宋体" w:hAnsi="宋体"/>
          <w:sz w:val="24"/>
        </w:rPr>
        <w:t xml:space="preserve">.</w:t>
      </w: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rPr>
          <w:rFonts w:ascii="宋体" w:hAnsi="宋体"/>
          <w:sz w:val="24"/>
        </w:rPr>
      </w:r>
      <w:r/>
    </w:p>
    <w:p>
      <w:pPr>
        <w:pStyle w:val="1044"/>
        <w:ind w:firstLine="480"/>
        <w:rPr>
          <w:rFonts w:ascii="宋体" w:hAnsi="宋体"/>
          <w:sz w:val="24"/>
        </w:rPr>
      </w:pPr>
      <w:r/>
      <w:bookmarkEnd w:id="102"/>
      <w:r>
        <w:rPr>
          <w:rFonts w:ascii="宋体" w:hAnsi="宋体"/>
          <w:sz w:val="24"/>
        </w:rPr>
      </w:r>
      <w:r/>
    </w:p>
    <w:p>
      <w:pPr>
        <w:pStyle w:val="1030"/>
        <w:jc w:val="left"/>
        <w:widowControl/>
        <w:rPr>
          <w:rFonts w:ascii="宋体" w:hAnsi="宋体"/>
          <w:b/>
        </w:rPr>
      </w:pPr>
      <w:r/>
      <w:bookmarkStart w:id="103" w:name="_格式2__法定代表人授权书"/>
      <w:r/>
      <w:bookmarkEnd w:id="103"/>
      <w:r>
        <w:rPr>
          <w:rFonts w:ascii="宋体" w:hAnsi="宋体"/>
          <w:b/>
        </w:rPr>
        <w:br w:type="page" w:clear="all"/>
      </w:r>
      <w:r>
        <w:rPr>
          <w:rFonts w:ascii="宋体" w:hAnsi="宋体"/>
          <w:b/>
        </w:rPr>
      </w:r>
      <w:r/>
    </w:p>
    <w:p>
      <w:pPr>
        <w:pStyle w:val="1030"/>
        <w:jc w:val="center"/>
        <w:spacing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1030"/>
        <w:spacing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030"/>
              <w:jc w:val="center"/>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1030"/>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1030"/>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1030"/>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1030"/>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1030"/>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1030"/>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1030"/>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1030"/>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1030"/>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1030"/>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1030"/>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1030"/>
        <w:jc w:val="left"/>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1030"/>
        <w:jc w:val="center"/>
        <w:spacing w:line="560" w:lineRule="exact"/>
        <w:rPr>
          <w:rFonts w:ascii="宋体" w:hAnsi="宋体" w:cs="宋体"/>
          <w:b/>
          <w:sz w:val="32"/>
          <w:szCs w:val="32"/>
        </w:rPr>
      </w:pPr>
      <w:r>
        <w:rPr>
          <w:rFonts w:hint="eastAsia" w:ascii="宋体" w:hAnsi="宋体" w:cs="宋体"/>
          <w:b/>
          <w:sz w:val="32"/>
          <w:szCs w:val="32"/>
        </w:rPr>
        <w:t xml:space="preserve">联合体协议（如有）</w:t>
      </w:r>
      <w:r>
        <w:rPr>
          <w:rFonts w:ascii="宋体" w:hAnsi="宋体" w:cs="宋体"/>
          <w:b/>
          <w:sz w:val="32"/>
          <w:szCs w:val="32"/>
        </w:rPr>
      </w:r>
      <w:r/>
    </w:p>
    <w:p>
      <w:pPr>
        <w:pStyle w:val="1030"/>
        <w:spacing w:line="560" w:lineRule="exact"/>
        <w:rPr>
          <w:rFonts w:ascii="宋体" w:hAnsi="宋体" w:cs="宋体"/>
          <w:szCs w:val="21"/>
        </w:rPr>
      </w:pPr>
      <w:r>
        <w:rPr>
          <w:rFonts w:hint="eastAsia" w:ascii="宋体" w:hAnsi="宋体" w:cs="宋体"/>
          <w:szCs w:val="21"/>
        </w:rPr>
        <w:t xml:space="preserve">（联合体中各供应商全称）在此达成以下协议：</w:t>
      </w:r>
      <w:r>
        <w:rPr>
          <w:rFonts w:ascii="宋体" w:hAnsi="宋体" w:cs="宋体"/>
          <w:szCs w:val="21"/>
        </w:rPr>
      </w:r>
      <w:r/>
    </w:p>
    <w:p>
      <w:pPr>
        <w:pStyle w:val="1030"/>
        <w:ind w:firstLine="645"/>
        <w:spacing w:line="560" w:lineRule="exact"/>
        <w:rPr>
          <w:rFonts w:ascii="宋体" w:hAnsi="宋体" w:cs="宋体"/>
          <w:szCs w:val="21"/>
        </w:rPr>
      </w:pPr>
      <w:r>
        <w:rPr>
          <w:rFonts w:hint="eastAsia" w:ascii="宋体" w:hAnsi="宋体" w:cs="宋体"/>
          <w:szCs w:val="21"/>
        </w:rPr>
        <w:t xml:space="preserve">1、我们</w:t>
      </w:r>
      <w:r>
        <w:rPr>
          <w:rFonts w:hint="eastAsia" w:ascii="宋体" w:hAnsi="宋体" w:cs="宋体"/>
          <w:szCs w:val="21"/>
          <w:u w:val="single"/>
        </w:rPr>
        <w:t xml:space="preserve"> （供应商1），（供应商2） ，……</w:t>
      </w:r>
      <w:r>
        <w:rPr>
          <w:rFonts w:hint="eastAsia" w:ascii="宋体" w:hAnsi="宋体" w:cs="宋体"/>
          <w:szCs w:val="21"/>
        </w:rPr>
        <w:t xml:space="preserve">自愿组成联合体，参加江苏时代投资咨询有限公司组织的采购编号为</w:t>
      </w:r>
      <w:r>
        <w:rPr>
          <w:rFonts w:hint="eastAsia" w:ascii="宋体" w:hAnsi="宋体" w:cs="宋体"/>
          <w:szCs w:val="21"/>
          <w:u w:val="single"/>
        </w:rPr>
        <w:t xml:space="preserve">（编号全称），（项目全称）</w:t>
      </w:r>
      <w:r>
        <w:rPr>
          <w:rFonts w:hint="eastAsia" w:ascii="宋体" w:hAnsi="宋体" w:cs="宋体"/>
          <w:szCs w:val="21"/>
        </w:rPr>
        <w:t xml:space="preserve">项目的政府采购活动，我联合体指定</w:t>
      </w:r>
      <w:r>
        <w:rPr>
          <w:rFonts w:hint="eastAsia" w:ascii="宋体" w:hAnsi="宋体" w:cs="宋体"/>
          <w:szCs w:val="21"/>
          <w:u w:val="single"/>
        </w:rPr>
        <w:t xml:space="preserve">（供应商*）</w:t>
      </w:r>
      <w:r>
        <w:rPr>
          <w:rFonts w:hint="eastAsia" w:ascii="宋体" w:hAnsi="宋体" w:cs="宋体"/>
          <w:szCs w:val="21"/>
        </w:rPr>
        <w:t xml:space="preserve">为牵头单位（牵头单位必须为联合体成员）。</w:t>
      </w:r>
      <w:r>
        <w:rPr>
          <w:rFonts w:ascii="宋体" w:hAnsi="宋体" w:cs="宋体"/>
          <w:szCs w:val="21"/>
        </w:rPr>
      </w:r>
      <w:r/>
    </w:p>
    <w:p>
      <w:pPr>
        <w:pStyle w:val="1030"/>
        <w:ind w:firstLine="645"/>
        <w:spacing w:line="560" w:lineRule="exact"/>
        <w:rPr>
          <w:rFonts w:ascii="宋体" w:hAnsi="宋体" w:cs="宋体"/>
          <w:szCs w:val="21"/>
        </w:rPr>
      </w:pPr>
      <w:r>
        <w:rPr>
          <w:rFonts w:hint="eastAsia" w:ascii="宋体" w:hAnsi="宋体" w:cs="宋体"/>
          <w:szCs w:val="21"/>
        </w:rPr>
        <w:t xml:space="preserve">2、若我们联合中标，（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s="宋体"/>
          <w:szCs w:val="21"/>
        </w:rPr>
      </w:r>
      <w:r/>
    </w:p>
    <w:p>
      <w:pPr>
        <w:pStyle w:val="1030"/>
        <w:ind w:firstLine="645"/>
        <w:spacing w:line="560" w:lineRule="exact"/>
        <w:rPr>
          <w:rFonts w:ascii="宋体" w:hAnsi="宋体" w:cs="宋体"/>
          <w:szCs w:val="21"/>
        </w:rPr>
      </w:pPr>
      <w:r>
        <w:rPr>
          <w:rFonts w:hint="eastAsia" w:ascii="宋体" w:hAnsi="宋体" w:cs="宋体"/>
          <w:szCs w:val="21"/>
        </w:rPr>
        <w:t xml:space="preserve">3、其中</w:t>
      </w:r>
      <w:r>
        <w:rPr>
          <w:rFonts w:hint="eastAsia" w:ascii="宋体" w:hAnsi="宋体" w:cs="宋体"/>
          <w:szCs w:val="21"/>
          <w:u w:val="single"/>
        </w:rPr>
        <w:t xml:space="preserve">      </w:t>
      </w:r>
      <w:r>
        <w:rPr>
          <w:rFonts w:hint="eastAsia" w:ascii="宋体" w:hAnsi="宋体" w:cs="宋体"/>
          <w:szCs w:val="21"/>
        </w:rPr>
        <w:t xml:space="preserve">（小型、微型企业/残疾人福利性单位/监狱企业全称）为</w:t>
      </w:r>
      <w:r>
        <w:rPr>
          <w:rFonts w:hint="eastAsia" w:ascii="宋体" w:hAnsi="宋体" w:cs="宋体"/>
          <w:szCs w:val="21"/>
          <w:u w:val="single"/>
        </w:rPr>
        <w:t xml:space="preserve">    </w:t>
      </w:r>
      <w:r>
        <w:rPr>
          <w:rFonts w:hint="eastAsia" w:ascii="宋体" w:hAnsi="宋体" w:cs="宋体"/>
          <w:szCs w:val="21"/>
        </w:rPr>
        <w:t xml:space="preserve">（小型、微型企业/残疾人福利性单位/监狱企业）企业，且我们约定该公司/单位所承担的合同金额将占本项目合同总金额的</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30"/>
        <w:ind w:firstLine="645"/>
        <w:spacing w:line="560" w:lineRule="exact"/>
        <w:rPr>
          <w:rFonts w:ascii="宋体" w:hAnsi="宋体" w:cs="宋体"/>
          <w:szCs w:val="21"/>
        </w:rPr>
      </w:pPr>
      <w:r>
        <w:rPr>
          <w:rFonts w:ascii="宋体" w:hAnsi="宋体" w:cs="宋体"/>
          <w:szCs w:val="21"/>
        </w:rPr>
      </w:r>
      <w:r/>
    </w:p>
    <w:p>
      <w:pPr>
        <w:pStyle w:val="1030"/>
        <w:ind w:firstLine="645"/>
        <w:spacing w:line="560" w:lineRule="exact"/>
        <w:rPr>
          <w:rFonts w:ascii="宋体" w:hAnsi="宋体" w:cs="宋体"/>
          <w:szCs w:val="21"/>
        </w:rPr>
      </w:pPr>
      <w:r>
        <w:rPr>
          <w:rFonts w:hint="eastAsia" w:ascii="宋体" w:hAnsi="宋体" w:cs="宋体"/>
          <w:szCs w:val="21"/>
        </w:rPr>
        <w:t xml:space="preserve">备注：本磋商文件中要求加盖CA电子公章的地方，仅需加盖牵头单位的CA电子公章。</w:t>
      </w:r>
      <w:r>
        <w:rPr>
          <w:rFonts w:ascii="宋体" w:hAnsi="宋体" w:cs="宋体"/>
          <w:szCs w:val="21"/>
        </w:rPr>
      </w:r>
      <w:r/>
    </w:p>
    <w:p>
      <w:pPr>
        <w:pStyle w:val="1030"/>
        <w:ind w:firstLine="645"/>
        <w:spacing w:line="560" w:lineRule="exact"/>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1030"/>
        <w:ind w:firstLine="645"/>
        <w:jc w:val="right"/>
        <w:spacing w:line="560" w:lineRule="exact"/>
        <w:rPr>
          <w:rFonts w:ascii="宋体" w:hAnsi="宋体" w:cs="宋体"/>
          <w:szCs w:val="21"/>
        </w:rPr>
      </w:pPr>
      <w:r>
        <w:rPr>
          <w:rFonts w:hint="eastAsia" w:ascii="宋体" w:hAnsi="宋体" w:cs="宋体"/>
          <w:szCs w:val="21"/>
        </w:rPr>
        <w:t xml:space="preserve">联合体中各供应商全称（公章）：     </w:t>
      </w:r>
      <w:r>
        <w:rPr>
          <w:rFonts w:ascii="宋体" w:hAnsi="宋体" w:cs="宋体"/>
          <w:szCs w:val="21"/>
        </w:rPr>
      </w:r>
      <w:r/>
    </w:p>
    <w:p>
      <w:pPr>
        <w:pStyle w:val="1030"/>
        <w:ind w:firstLine="645"/>
        <w:jc w:val="right"/>
        <w:spacing w:line="56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030"/>
        <w:ind w:firstLine="645"/>
        <w:jc w:val="right"/>
        <w:spacing w:line="560" w:lineRule="exact"/>
        <w:rPr>
          <w:rFonts w:ascii="宋体" w:hAnsi="宋体" w:cs="宋体"/>
          <w:szCs w:val="21"/>
        </w:rPr>
      </w:pPr>
      <w:r>
        <w:rPr>
          <w:rFonts w:hint="eastAsia" w:ascii="宋体" w:hAnsi="宋体" w:cs="宋体"/>
          <w:szCs w:val="21"/>
        </w:rPr>
        <w:t xml:space="preserve">日期：</w:t>
      </w:r>
      <w:r>
        <w:rPr>
          <w:rFonts w:ascii="宋体" w:hAnsi="宋体" w:cs="宋体"/>
          <w:szCs w:val="21"/>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等线 Light">
    <w:panose1 w:val="02010600030101010101"/>
  </w:font>
  <w:font w:name="仿宋">
    <w:panose1 w:val="02010609060101010101"/>
  </w:font>
  <w:font w:name="Symbol">
    <w:panose1 w:val="05050102010706020507"/>
  </w:font>
  <w:font w:name="Tahoma">
    <w:panose1 w:val="020B0604030504040204"/>
  </w:font>
  <w:font w:name="Courier New">
    <w:panose1 w:val="02070309020205020404"/>
  </w:font>
  <w:font w:name="楷体_GB2312">
    <w:panose1 w:val="02010609060101010101"/>
  </w:font>
  <w:font w:name="Cambria">
    <w:panose1 w:val="02040503050406030204"/>
  </w:font>
  <w:font w:name="Calibri">
    <w:panose1 w:val="020F0502020204030204"/>
  </w:font>
  <w:font w:name="微软雅黑">
    <w:panose1 w:val="020B050302020402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10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30"/>
                          </w:pPr>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30"/>
                    </w:pPr>
                    <w:r/>
                    <w:r/>
                  </w:p>
                  <w:p>
                    <w:pPr>
                      <w:pStyle w:val="1030"/>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03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03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s>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rPr>
                              <w:rFonts w:hint="eastAsia"/>
                            </w:rPr>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rPr>
                        <w:rFonts w:hint="eastAsia"/>
                      </w:rPr>
                    </w:r>
                    <w:r/>
                  </w:p>
                  <w:p>
                    <w:pPr>
                      <w:pStyle w:val="1030"/>
                    </w:pPr>
                    <w:r/>
                    <w:r/>
                  </w:p>
                </w:txbxContent>
              </v:textbox>
            </v:shape>
          </w:pict>
        </mc:Fallback>
      </mc:AlternateContent>
    </w:r>
    <w:r>
      <w:rPr>
        <w:rFonts w:hint="eastAsia" w:ascii="仿宋_GB2312" w:eastAsia="仿宋_GB2312"/>
        <w:b/>
        <w:sz w:val="24"/>
        <w:szCs w:val="24"/>
      </w:rPr>
      <w:tab/>
    </w:r>
    <w:r>
      <w:rPr>
        <w:rFonts w:ascii="仿宋_GB2312" w:eastAsia="仿宋_GB2312"/>
        <w:b/>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tabs>
        <w:tab w:val="center" w:pos="4153" w:leader="none"/>
        <w:tab w:val="right" w:pos="8306" w:leader="none"/>
      </w:tabs>
    </w:pPr>
    <w:r>
      <w:rPr>
        <w:rFonts w:hint="eastAsia"/>
        <w:spacing w:val="1"/>
        <w:lang w:eastAsia="zh-CN"/>
      </w:rPr>
      <w:t xml:space="preserve">JSZC-321002-SDTZ-G2025-0017</w:t>
    </w:r>
    <w:r>
      <w:rPr>
        <w:rFonts w:hint="eastAsia"/>
      </w:rPr>
      <w:t xml:space="preserve">                                       江苏时代投资咨询有限公司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rPr>
        <w:rFonts w:hint="eastAsia"/>
      </w:rPr>
    </w:pPr>
    <w:r>
      <w:rPr>
        <w:rFonts w:hint="eastAsia"/>
        <w:lang w:eastAsia="zh-CN"/>
      </w:rPr>
      <w:t xml:space="preserve">JSZC-321002-SDTZ-G2025-0017</w:t>
    </w:r>
    <w:r>
      <w:rPr>
        <w:rFonts w:hint="eastAsia"/>
      </w:rPr>
      <w:t xml:space="preserve">                                       江苏时代投资咨询有限公司</w:t>
    </w:r>
    <w:r>
      <w:rPr>
        <w:rFonts w:hint="eastAsia"/>
      </w:rPr>
    </w:r>
    <w:r/>
  </w:p>
  <w:p>
    <w:pPr>
      <w:pStyle w:val="1189"/>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tabs>
        <w:tab w:val="center" w:pos="4153" w:leader="none"/>
        <w:tab w:val="right" w:pos="8306" w:leader="none"/>
      </w:tabs>
      <w:rPr>
        <w:rFonts w:hint="eastAsia" w:ascii="宋体" w:hAnsi="宋体"/>
        <w:szCs w:val="21"/>
      </w:rPr>
      <w:pBdr>
        <w:bottom w:val="single" w:color="000000" w:sz="6" w:space="0"/>
      </w:pBdr>
    </w:pPr>
    <w:r>
      <w:rPr>
        <w:rFonts w:hint="eastAsia"/>
        <w:spacing w:val="1"/>
        <w:lang w:eastAsia="zh-CN"/>
      </w:rPr>
      <w:t xml:space="preserve">JSZC-321002-SDTZ-G2025-0017</w:t>
    </w:r>
    <w:r>
      <w:rPr>
        <w:rFonts w:hint="eastAsia"/>
      </w:rPr>
      <w:t xml:space="preserve">                                       江苏时代投资咨询有限公司</w:t>
    </w:r>
    <w:r>
      <w:rPr>
        <w:rFonts w:hint="eastAsia" w:ascii="宋体" w:hAnsi="宋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80"/>
      <w:isLgl w:val="false"/>
      <w:suff w:val="tab"/>
      <w:lvlText w:val="%1、"/>
      <w:lvlJc w:val="left"/>
      <w:pPr>
        <w:pStyle w:val="1030"/>
        <w:ind w:left="720" w:hanging="720"/>
        <w:tabs>
          <w:tab w:val="num" w:pos="720" w:leader="none"/>
        </w:tabs>
      </w:pPr>
    </w:lvl>
    <w:lvl w:ilvl="1">
      <w:start w:val="1"/>
      <w:numFmt w:val="lowerLetter"/>
      <w:isLgl w:val="false"/>
      <w:suff w:val="tab"/>
      <w:lvlText w:val="%2)"/>
      <w:lvlJc w:val="left"/>
      <w:pPr>
        <w:pStyle w:val="1030"/>
        <w:ind w:left="840" w:hanging="420"/>
        <w:tabs>
          <w:tab w:val="num" w:pos="840" w:leader="none"/>
        </w:tabs>
      </w:pPr>
    </w:lvl>
    <w:lvl w:ilvl="2">
      <w:start w:val="1"/>
      <w:numFmt w:val="lowerRoman"/>
      <w:isLgl w:val="false"/>
      <w:suff w:val="tab"/>
      <w:lvlText w:val="%3."/>
      <w:lvlJc w:val="right"/>
      <w:pPr>
        <w:pStyle w:val="1030"/>
        <w:ind w:left="1260" w:hanging="420"/>
        <w:tabs>
          <w:tab w:val="num" w:pos="1260" w:leader="none"/>
        </w:tabs>
      </w:pPr>
    </w:lvl>
    <w:lvl w:ilvl="3">
      <w:start w:val="1"/>
      <w:numFmt w:val="decimal"/>
      <w:isLgl w:val="false"/>
      <w:suff w:val="tab"/>
      <w:lvlText w:val="%4."/>
      <w:lvlJc w:val="left"/>
      <w:pPr>
        <w:pStyle w:val="1030"/>
        <w:ind w:left="1680" w:hanging="420"/>
        <w:tabs>
          <w:tab w:val="num" w:pos="1680" w:leader="none"/>
        </w:tabs>
      </w:pPr>
    </w:lvl>
    <w:lvl w:ilvl="4">
      <w:start w:val="1"/>
      <w:numFmt w:val="lowerLetter"/>
      <w:isLgl w:val="false"/>
      <w:suff w:val="tab"/>
      <w:lvlText w:val="%5)"/>
      <w:lvlJc w:val="left"/>
      <w:pPr>
        <w:pStyle w:val="1030"/>
        <w:ind w:left="2100" w:hanging="420"/>
        <w:tabs>
          <w:tab w:val="num" w:pos="2100" w:leader="none"/>
        </w:tabs>
      </w:pPr>
    </w:lvl>
    <w:lvl w:ilvl="5">
      <w:start w:val="1"/>
      <w:numFmt w:val="lowerRoman"/>
      <w:isLgl w:val="false"/>
      <w:suff w:val="tab"/>
      <w:lvlText w:val="%6."/>
      <w:lvlJc w:val="right"/>
      <w:pPr>
        <w:pStyle w:val="1030"/>
        <w:ind w:left="2520" w:hanging="420"/>
        <w:tabs>
          <w:tab w:val="num" w:pos="2520" w:leader="none"/>
        </w:tabs>
      </w:pPr>
    </w:lvl>
    <w:lvl w:ilvl="6">
      <w:start w:val="1"/>
      <w:numFmt w:val="decimal"/>
      <w:isLgl w:val="false"/>
      <w:suff w:val="tab"/>
      <w:lvlText w:val="%7."/>
      <w:lvlJc w:val="left"/>
      <w:pPr>
        <w:pStyle w:val="1030"/>
        <w:ind w:left="2940" w:hanging="420"/>
        <w:tabs>
          <w:tab w:val="num" w:pos="2940" w:leader="none"/>
        </w:tabs>
      </w:pPr>
    </w:lvl>
    <w:lvl w:ilvl="7">
      <w:start w:val="1"/>
      <w:numFmt w:val="lowerLetter"/>
      <w:isLgl w:val="false"/>
      <w:suff w:val="tab"/>
      <w:lvlText w:val="%8)"/>
      <w:lvlJc w:val="left"/>
      <w:pPr>
        <w:pStyle w:val="1030"/>
        <w:ind w:left="3360" w:hanging="420"/>
        <w:tabs>
          <w:tab w:val="num" w:pos="3360" w:leader="none"/>
        </w:tabs>
      </w:pPr>
    </w:lvl>
    <w:lvl w:ilvl="8">
      <w:start w:val="1"/>
      <w:numFmt w:val="lowerRoman"/>
      <w:isLgl w:val="false"/>
      <w:suff w:val="tab"/>
      <w:lvlText w:val="%9."/>
      <w:lvlJc w:val="right"/>
      <w:pPr>
        <w:pStyle w:val="1030"/>
        <w:ind w:left="3780" w:hanging="420"/>
        <w:tabs>
          <w:tab w:val="num" w:pos="3780" w:leader="none"/>
        </w:tabs>
      </w:pPr>
    </w:lvl>
  </w:abstractNum>
  <w:abstractNum w:abstractNumId="2">
    <w:multiLevelType w:val="hybridMultilevel"/>
    <w:lvl w:ilvl="0">
      <w:start w:val="32"/>
      <w:numFmt w:val="decimal"/>
      <w:isLgl w:val="false"/>
      <w:suff w:val="nothing"/>
      <w:lvlText w:val="%1、"/>
      <w:lvlJc w:val="left"/>
      <w:pPr>
        <w:pStyle w:val="1030"/>
      </w:pPr>
    </w:lvl>
    <w:lvl w:ilvl="1">
      <w:start w:val="1"/>
      <w:numFmt w:val="bullet"/>
      <w:isLgl w:val="false"/>
      <w:suff w:val="tab"/>
      <w:lvlText w:val="o"/>
      <w:lvlJc w:val="left"/>
      <w:pPr>
        <w:pStyle w:val="1030"/>
        <w:ind w:left="1440" w:hanging="360"/>
      </w:pPr>
      <w:rPr>
        <w:rFonts w:ascii="Courier New" w:hAnsi="Courier New" w:eastAsia="Courier New" w:cs="Courier New"/>
      </w:rPr>
    </w:lvl>
    <w:lvl w:ilvl="2">
      <w:start w:val="1"/>
      <w:numFmt w:val="bullet"/>
      <w:isLgl w:val="false"/>
      <w:suff w:val="tab"/>
      <w:lvlText w:val="§"/>
      <w:lvlJc w:val="left"/>
      <w:pPr>
        <w:pStyle w:val="1030"/>
        <w:ind w:left="2160" w:hanging="360"/>
      </w:pPr>
      <w:rPr>
        <w:rFonts w:ascii="Wingdings" w:hAnsi="Wingdings" w:eastAsia="Wingdings" w:cs="Wingdings"/>
      </w:rPr>
    </w:lvl>
    <w:lvl w:ilvl="3">
      <w:start w:val="1"/>
      <w:numFmt w:val="bullet"/>
      <w:isLgl w:val="false"/>
      <w:suff w:val="tab"/>
      <w:lvlText w:val="·"/>
      <w:lvlJc w:val="left"/>
      <w:pPr>
        <w:pStyle w:val="1030"/>
        <w:ind w:left="2880" w:hanging="360"/>
      </w:pPr>
      <w:rPr>
        <w:rFonts w:ascii="Symbol" w:hAnsi="Symbol" w:eastAsia="Symbol" w:cs="Symbol"/>
      </w:rPr>
    </w:lvl>
    <w:lvl w:ilvl="4">
      <w:start w:val="1"/>
      <w:numFmt w:val="bullet"/>
      <w:isLgl w:val="false"/>
      <w:suff w:val="tab"/>
      <w:lvlText w:val="o"/>
      <w:lvlJc w:val="left"/>
      <w:pPr>
        <w:pStyle w:val="1030"/>
        <w:ind w:left="3600" w:hanging="360"/>
      </w:pPr>
      <w:rPr>
        <w:rFonts w:ascii="Courier New" w:hAnsi="Courier New" w:eastAsia="Courier New" w:cs="Courier New"/>
      </w:rPr>
    </w:lvl>
    <w:lvl w:ilvl="5">
      <w:start w:val="1"/>
      <w:numFmt w:val="bullet"/>
      <w:isLgl w:val="false"/>
      <w:suff w:val="tab"/>
      <w:lvlText w:val="§"/>
      <w:lvlJc w:val="left"/>
      <w:pPr>
        <w:pStyle w:val="1030"/>
        <w:ind w:left="4320" w:hanging="360"/>
      </w:pPr>
      <w:rPr>
        <w:rFonts w:ascii="Wingdings" w:hAnsi="Wingdings" w:eastAsia="Wingdings" w:cs="Wingdings"/>
      </w:rPr>
    </w:lvl>
    <w:lvl w:ilvl="6">
      <w:start w:val="1"/>
      <w:numFmt w:val="bullet"/>
      <w:isLgl w:val="false"/>
      <w:suff w:val="tab"/>
      <w:lvlText w:val="·"/>
      <w:lvlJc w:val="left"/>
      <w:pPr>
        <w:pStyle w:val="1030"/>
        <w:ind w:left="5040" w:hanging="360"/>
      </w:pPr>
      <w:rPr>
        <w:rFonts w:ascii="Symbol" w:hAnsi="Symbol" w:eastAsia="Symbol" w:cs="Symbol"/>
      </w:rPr>
    </w:lvl>
    <w:lvl w:ilvl="7">
      <w:start w:val="1"/>
      <w:numFmt w:val="bullet"/>
      <w:isLgl w:val="false"/>
      <w:suff w:val="tab"/>
      <w:lvlText w:val="o"/>
      <w:lvlJc w:val="left"/>
      <w:pPr>
        <w:pStyle w:val="1030"/>
        <w:ind w:left="5760" w:hanging="360"/>
      </w:pPr>
      <w:rPr>
        <w:rFonts w:ascii="Courier New" w:hAnsi="Courier New" w:eastAsia="Courier New" w:cs="Courier New"/>
      </w:rPr>
    </w:lvl>
    <w:lvl w:ilvl="8">
      <w:start w:val="1"/>
      <w:numFmt w:val="bullet"/>
      <w:isLgl w:val="false"/>
      <w:suff w:val="tab"/>
      <w:lvlText w:val="§"/>
      <w:lvlJc w:val="left"/>
      <w:pPr>
        <w:pStyle w:val="1030"/>
        <w:ind w:left="6480" w:hanging="360"/>
      </w:pPr>
      <w:rPr>
        <w:rFonts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10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1030"/>
        <w:ind w:left="300" w:hanging="420"/>
      </w:pPr>
      <w:rPr>
        <w:rFonts w:hint="eastAsia" w:ascii="黑体" w:eastAsia="黑体"/>
        <w:b w:val="0"/>
        <w:sz w:val="36"/>
        <w:lang w:val="en-US"/>
      </w:rPr>
    </w:lvl>
    <w:lvl w:ilvl="1">
      <w:start w:val="1"/>
      <w:numFmt w:val="decimal"/>
      <w:pStyle w:val="1177"/>
      <w:isLgl w:val="false"/>
      <w:suff w:val="tab"/>
      <w:lvlText w:val="%1.%2"/>
      <w:lvlJc w:val="left"/>
      <w:pPr>
        <w:pStyle w:val="1030"/>
        <w:ind w:left="0" w:firstLine="0"/>
        <w:tabs>
          <w:tab w:val="num" w:pos="851" w:leader="none"/>
        </w:tabs>
      </w:pPr>
    </w:lvl>
    <w:lvl w:ilvl="2">
      <w:start w:val="1"/>
      <w:numFmt w:val="decimal"/>
      <w:pStyle w:val="1176"/>
      <w:isLgl w:val="false"/>
      <w:suff w:val="tab"/>
      <w:lvlText w:val="%1.%2.%3"/>
      <w:lvlJc w:val="left"/>
      <w:pPr>
        <w:pStyle w:val="1030"/>
        <w:ind w:left="0" w:firstLine="0"/>
        <w:tabs>
          <w:tab w:val="num" w:pos="851" w:leader="none"/>
        </w:tabs>
      </w:pPr>
      <w:rPr>
        <w:color w:val="000000"/>
      </w:rPr>
    </w:lvl>
    <w:lvl w:ilvl="3">
      <w:start w:val="1"/>
      <w:numFmt w:val="decimal"/>
      <w:isLgl w:val="false"/>
      <w:suff w:val="tab"/>
      <w:lvlText w:val="%1.%2.%3.%4"/>
      <w:lvlJc w:val="left"/>
      <w:pPr>
        <w:pStyle w:val="1030"/>
        <w:ind w:left="0" w:firstLine="0"/>
        <w:tabs>
          <w:tab w:val="num" w:pos="1134" w:leader="none"/>
        </w:tabs>
      </w:pPr>
      <w:rPr>
        <w:rFonts w:hint="eastAsia"/>
      </w:rPr>
    </w:lvl>
    <w:lvl w:ilvl="4">
      <w:start w:val="1"/>
      <w:numFmt w:val="decimal"/>
      <w:isLgl w:val="false"/>
      <w:suff w:val="tab"/>
      <w:lvlText w:val="%1.%2.%3.%4.%5"/>
      <w:lvlJc w:val="left"/>
      <w:pPr>
        <w:pStyle w:val="1030"/>
        <w:ind w:left="4620" w:hanging="850"/>
        <w:tabs>
          <w:tab w:val="num" w:pos="4850" w:leader="none"/>
        </w:tabs>
      </w:pPr>
      <w:rPr>
        <w:rFonts w:hint="eastAsia"/>
      </w:rPr>
    </w:lvl>
    <w:lvl w:ilvl="5">
      <w:start w:val="1"/>
      <w:numFmt w:val="decimal"/>
      <w:isLgl w:val="false"/>
      <w:suff w:val="tab"/>
      <w:lvlText w:val="%1.%2.%3.%4.%5.%6"/>
      <w:lvlJc w:val="left"/>
      <w:pPr>
        <w:pStyle w:val="1030"/>
        <w:ind w:left="5329" w:hanging="1134"/>
        <w:tabs>
          <w:tab w:val="num" w:pos="5635" w:leader="none"/>
        </w:tabs>
      </w:pPr>
      <w:rPr>
        <w:rFonts w:hint="eastAsia"/>
      </w:rPr>
    </w:lvl>
    <w:lvl w:ilvl="6">
      <w:start w:val="1"/>
      <w:numFmt w:val="decimal"/>
      <w:isLgl w:val="false"/>
      <w:suff w:val="tab"/>
      <w:lvlText w:val="%1.%2.%3.%4.%5.%6.%7"/>
      <w:lvlJc w:val="left"/>
      <w:pPr>
        <w:pStyle w:val="1030"/>
        <w:ind w:left="5896" w:hanging="1276"/>
        <w:tabs>
          <w:tab w:val="num" w:pos="6420" w:leader="none"/>
        </w:tabs>
      </w:pPr>
      <w:rPr>
        <w:rFonts w:hint="eastAsia"/>
      </w:rPr>
    </w:lvl>
    <w:lvl w:ilvl="7">
      <w:start w:val="1"/>
      <w:numFmt w:val="decimal"/>
      <w:isLgl w:val="false"/>
      <w:suff w:val="tab"/>
      <w:lvlText w:val="%1.%2.%3.%4.%5.%6.%7.%8"/>
      <w:lvlJc w:val="left"/>
      <w:pPr>
        <w:pStyle w:val="1030"/>
        <w:ind w:left="6463" w:hanging="1418"/>
        <w:tabs>
          <w:tab w:val="num" w:pos="6845" w:leader="none"/>
        </w:tabs>
      </w:pPr>
      <w:rPr>
        <w:rFonts w:hint="eastAsia"/>
      </w:rPr>
    </w:lvl>
    <w:lvl w:ilvl="8">
      <w:start w:val="1"/>
      <w:numFmt w:val="decimal"/>
      <w:isLgl w:val="false"/>
      <w:suff w:val="tab"/>
      <w:lvlText w:val="%1.%2.%3.%4.%5.%6.%7.%8.%9"/>
      <w:lvlJc w:val="left"/>
      <w:pPr>
        <w:pStyle w:val="1030"/>
        <w:ind w:left="7171" w:hanging="1700"/>
        <w:tabs>
          <w:tab w:val="num" w:pos="7631" w:leader="none"/>
        </w:tabs>
      </w:pPr>
      <w:rPr>
        <w:rFonts w:hint="eastAsia"/>
      </w:rPr>
    </w:lvl>
  </w:abstractNum>
  <w:abstractNum w:abstractNumId="5">
    <w:multiLevelType w:val="hybridMultilevel"/>
    <w:lvl w:ilvl="0">
      <w:start w:val="1"/>
      <w:numFmt w:val="decimal"/>
      <w:isLgl w:val="false"/>
      <w:suff w:val="nothing"/>
      <w:lvlText w:val="（%1）"/>
      <w:lvlJc w:val="left"/>
      <w:pPr>
        <w:pStyle w:val="10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65"/>
      <w:isLgl w:val="false"/>
      <w:suff w:val="tab"/>
      <w:lvlText w:val=""/>
      <w:lvlJc w:val="left"/>
      <w:pPr>
        <w:pStyle w:val="103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31"/>
      <w:isLgl w:val="false"/>
      <w:suff w:val="tab"/>
      <w:lvlText w:val=""/>
      <w:lvlJc w:val="left"/>
      <w:pPr>
        <w:pStyle w:val="1030"/>
        <w:ind w:left="900" w:hanging="420"/>
      </w:pPr>
      <w:rPr>
        <w:rFonts w:ascii="Wingdings" w:hAnsi="Wingdings"/>
      </w:rPr>
    </w:lvl>
    <w:lvl w:ilvl="1">
      <w:start w:val="1"/>
      <w:numFmt w:val="bullet"/>
      <w:isLgl w:val="false"/>
      <w:suff w:val="tab"/>
      <w:lvlText w:val=""/>
      <w:lvlJc w:val="left"/>
      <w:pPr>
        <w:pStyle w:val="1030"/>
        <w:ind w:left="1320" w:hanging="420"/>
      </w:pPr>
      <w:rPr>
        <w:rFonts w:ascii="Wingdings" w:hAnsi="Wingdings"/>
      </w:rPr>
    </w:lvl>
    <w:lvl w:ilvl="2">
      <w:start w:val="1"/>
      <w:numFmt w:val="bullet"/>
      <w:isLgl w:val="false"/>
      <w:suff w:val="tab"/>
      <w:lvlText w:val=""/>
      <w:lvlJc w:val="left"/>
      <w:pPr>
        <w:pStyle w:val="1030"/>
        <w:ind w:left="1740" w:hanging="420"/>
      </w:pPr>
      <w:rPr>
        <w:rFonts w:ascii="Wingdings" w:hAnsi="Wingdings"/>
      </w:rPr>
    </w:lvl>
    <w:lvl w:ilvl="3">
      <w:start w:val="1"/>
      <w:numFmt w:val="bullet"/>
      <w:isLgl w:val="false"/>
      <w:suff w:val="tab"/>
      <w:lvlText w:val=""/>
      <w:lvlJc w:val="left"/>
      <w:pPr>
        <w:pStyle w:val="1030"/>
        <w:ind w:left="2160" w:hanging="420"/>
      </w:pPr>
      <w:rPr>
        <w:rFonts w:ascii="Wingdings" w:hAnsi="Wingdings"/>
      </w:rPr>
    </w:lvl>
    <w:lvl w:ilvl="4">
      <w:start w:val="1"/>
      <w:numFmt w:val="bullet"/>
      <w:isLgl w:val="false"/>
      <w:suff w:val="tab"/>
      <w:lvlText w:val=""/>
      <w:lvlJc w:val="left"/>
      <w:pPr>
        <w:pStyle w:val="1030"/>
        <w:ind w:left="2580" w:hanging="420"/>
      </w:pPr>
      <w:rPr>
        <w:rFonts w:ascii="Wingdings" w:hAnsi="Wingdings"/>
      </w:rPr>
    </w:lvl>
    <w:lvl w:ilvl="5">
      <w:start w:val="1"/>
      <w:numFmt w:val="bullet"/>
      <w:isLgl w:val="false"/>
      <w:suff w:val="tab"/>
      <w:lvlText w:val=""/>
      <w:lvlJc w:val="left"/>
      <w:pPr>
        <w:pStyle w:val="1030"/>
        <w:ind w:left="3000" w:hanging="420"/>
      </w:pPr>
      <w:rPr>
        <w:rFonts w:ascii="Wingdings" w:hAnsi="Wingdings"/>
      </w:rPr>
    </w:lvl>
    <w:lvl w:ilvl="6">
      <w:start w:val="1"/>
      <w:numFmt w:val="bullet"/>
      <w:isLgl w:val="false"/>
      <w:suff w:val="tab"/>
      <w:lvlText w:val=""/>
      <w:lvlJc w:val="left"/>
      <w:pPr>
        <w:pStyle w:val="1030"/>
        <w:ind w:left="3420" w:hanging="420"/>
      </w:pPr>
      <w:rPr>
        <w:rFonts w:ascii="Wingdings" w:hAnsi="Wingdings"/>
      </w:rPr>
    </w:lvl>
    <w:lvl w:ilvl="7">
      <w:start w:val="1"/>
      <w:numFmt w:val="bullet"/>
      <w:isLgl w:val="false"/>
      <w:suff w:val="tab"/>
      <w:lvlText w:val=""/>
      <w:lvlJc w:val="left"/>
      <w:pPr>
        <w:pStyle w:val="1030"/>
        <w:ind w:left="3840" w:hanging="420"/>
      </w:pPr>
      <w:rPr>
        <w:rFonts w:ascii="Wingdings" w:hAnsi="Wingdings"/>
      </w:rPr>
    </w:lvl>
    <w:lvl w:ilvl="8">
      <w:start w:val="1"/>
      <w:numFmt w:val="bullet"/>
      <w:isLgl w:val="false"/>
      <w:suff w:val="tab"/>
      <w:lvlText w:val=""/>
      <w:lvlJc w:val="left"/>
      <w:pPr>
        <w:pStyle w:val="1030"/>
        <w:ind w:left="4260" w:hanging="420"/>
      </w:pPr>
      <w:rPr>
        <w:rFonts w:ascii="Wingdings" w:hAnsi="Wingdings"/>
      </w:rPr>
    </w:lvl>
  </w:abstractNum>
  <w:abstractNum w:abstractNumId="8">
    <w:multiLevelType w:val="hybridMultilevel"/>
    <w:lvl w:ilvl="0">
      <w:start w:val="1"/>
      <w:numFmt w:val="chineseCountingThousand"/>
      <w:isLgl w:val="false"/>
      <w:suff w:val="tab"/>
      <w:lvlText w:val="%1、"/>
      <w:lvlJc w:val="left"/>
      <w:pPr>
        <w:pStyle w:val="1030"/>
        <w:ind w:left="431" w:hanging="431"/>
      </w:pPr>
      <w:rPr>
        <w:rFonts w:cs="Times New Roman"/>
        <w:b/>
        <w:i w:val="0"/>
        <w:iCs w:val="0"/>
        <w:caps w:val="0"/>
        <w:strike w:val="0"/>
        <w:vanish w:val="0"/>
        <w:spacing w:val="0"/>
        <w:position w:val="0"/>
        <w:sz w:val="21"/>
        <w:szCs w:val="32"/>
        <w:u w:val="none"/>
        <w:vertAlign w:val="baseline"/>
      </w:rPr>
    </w:lvl>
    <w:lvl w:ilvl="1">
      <w:start w:val="1"/>
      <w:numFmt w:val="decimal"/>
      <w:pStyle w:val="1032"/>
      <w:isLgl w:val="false"/>
      <w:suff w:val="space"/>
      <w:lvlText w:val="%1.%2"/>
      <w:lvlJc w:val="left"/>
      <w:pPr>
        <w:pStyle w:val="1030"/>
        <w:ind w:left="851" w:hanging="567"/>
      </w:pPr>
      <w:rPr>
        <w:rFonts w:ascii="Arial" w:hAnsi="Arial" w:eastAsia="黑体"/>
        <w:b/>
        <w:i w:val="0"/>
        <w:sz w:val="28"/>
        <w:szCs w:val="28"/>
      </w:rPr>
    </w:lvl>
    <w:lvl w:ilvl="2">
      <w:start w:val="1"/>
      <w:numFmt w:val="decimal"/>
      <w:pStyle w:val="1033"/>
      <w:isLgl w:val="false"/>
      <w:suff w:val="space"/>
      <w:lvlText w:val="%1.%2.%3"/>
      <w:lvlJc w:val="left"/>
      <w:pPr>
        <w:pStyle w:val="1030"/>
        <w:ind w:left="720" w:hanging="720"/>
      </w:pPr>
      <w:rPr>
        <w:rFonts w:ascii="Arial" w:hAnsi="Arial" w:eastAsia="黑体"/>
        <w:b/>
        <w:i w:val="0"/>
        <w:sz w:val="28"/>
        <w:szCs w:val="28"/>
      </w:rPr>
    </w:lvl>
    <w:lvl w:ilvl="3">
      <w:start w:val="1"/>
      <w:numFmt w:val="decimal"/>
      <w:isLgl w:val="false"/>
      <w:suff w:val="space"/>
      <w:lvlText w:val="%1.%2.%3.%4"/>
      <w:lvlJc w:val="left"/>
      <w:pPr>
        <w:pStyle w:val="1030"/>
        <w:ind w:left="864" w:hanging="864"/>
      </w:pPr>
      <w:rPr>
        <w:rFonts w:ascii="Arial" w:hAnsi="Arial" w:eastAsia="黑体"/>
        <w:b/>
        <w:i w:val="0"/>
        <w:sz w:val="30"/>
        <w:szCs w:val="30"/>
      </w:rPr>
    </w:lvl>
    <w:lvl w:ilvl="4">
      <w:start w:val="1"/>
      <w:numFmt w:val="decimal"/>
      <w:isLgl w:val="false"/>
      <w:suff w:val="space"/>
      <w:lvlText w:val="%1.%2.%3.%4.%5"/>
      <w:lvlJc w:val="left"/>
      <w:pPr>
        <w:pStyle w:val="1030"/>
        <w:ind w:left="1008" w:hanging="1008"/>
      </w:pPr>
      <w:rPr>
        <w:rFonts w:ascii="Arial" w:hAnsi="Arial" w:eastAsia="黑体"/>
        <w:b/>
        <w:i w:val="0"/>
        <w:sz w:val="28"/>
        <w:szCs w:val="28"/>
      </w:rPr>
    </w:lvl>
    <w:lvl w:ilvl="5">
      <w:start w:val="1"/>
      <w:numFmt w:val="decimal"/>
      <w:isLgl w:val="false"/>
      <w:suff w:val="tab"/>
      <w:lvlText w:val="%1.%2.%3.%4.%5.%6"/>
      <w:lvlJc w:val="left"/>
      <w:pPr>
        <w:pStyle w:val="1030"/>
        <w:ind w:left="1152" w:hanging="1152"/>
        <w:tabs>
          <w:tab w:val="num" w:pos="1152" w:leader="none"/>
        </w:tabs>
      </w:pPr>
      <w:rPr>
        <w:rFonts w:hint="eastAsia"/>
      </w:rPr>
    </w:lvl>
    <w:lvl w:ilvl="6">
      <w:start w:val="1"/>
      <w:numFmt w:val="decimal"/>
      <w:isLgl w:val="false"/>
      <w:suff w:val="tab"/>
      <w:lvlText w:val="%1.%2.%3.%4.%5.%6.%7"/>
      <w:lvlJc w:val="left"/>
      <w:pPr>
        <w:pStyle w:val="1030"/>
        <w:ind w:left="1296" w:hanging="1296"/>
        <w:tabs>
          <w:tab w:val="num" w:pos="1296" w:leader="none"/>
        </w:tabs>
      </w:pPr>
      <w:rPr>
        <w:rFonts w:hint="eastAsia"/>
      </w:rPr>
    </w:lvl>
    <w:lvl w:ilvl="7">
      <w:start w:val="1"/>
      <w:numFmt w:val="decimal"/>
      <w:isLgl w:val="false"/>
      <w:suff w:val="tab"/>
      <w:lvlText w:val="%1.%2.%3.%4.%5.%6.%7.%8"/>
      <w:lvlJc w:val="left"/>
      <w:pPr>
        <w:pStyle w:val="1030"/>
        <w:ind w:left="1440" w:hanging="1440"/>
        <w:tabs>
          <w:tab w:val="num" w:pos="1440" w:leader="none"/>
        </w:tabs>
      </w:pPr>
      <w:rPr>
        <w:rFonts w:hint="eastAsia"/>
      </w:rPr>
    </w:lvl>
    <w:lvl w:ilvl="8">
      <w:start w:val="1"/>
      <w:numFmt w:val="decimal"/>
      <w:isLgl w:val="false"/>
      <w:suff w:val="tab"/>
      <w:lvlText w:val="%1.%2.%3.%4.%5.%6.%7.%8.%9"/>
      <w:lvlJc w:val="left"/>
      <w:pPr>
        <w:pStyle w:val="1030"/>
        <w:ind w:left="1584" w:hanging="1584"/>
        <w:tabs>
          <w:tab w:val="num" w:pos="1584" w:leader="none"/>
        </w:tabs>
      </w:pPr>
      <w:rPr>
        <w:rFonts w:hint="eastAsia"/>
      </w:rPr>
    </w:lvl>
  </w:abstractNum>
  <w:num w:numId="1">
    <w:abstractNumId w:val="8"/>
  </w:num>
  <w:num w:numId="2">
    <w:abstractNumId w:val="6"/>
  </w:num>
  <w:num w:numId="3">
    <w:abstractNumId w:val="7"/>
  </w:num>
  <w:num w:numId="4">
    <w:abstractNumId w:val="4"/>
  </w:num>
  <w:num w:numId="5">
    <w:abstractNumId w:val="1"/>
  </w:num>
  <w:num w:numId="6">
    <w:abstractNumId w:val="3"/>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name w:val="Heading 1"/>
    <w:basedOn w:val="1030"/>
    <w:next w:val="1030"/>
    <w:link w:val="854"/>
    <w:uiPriority w:val="9"/>
    <w:qFormat/>
    <w:pPr>
      <w:keepLines/>
      <w:keepNext/>
      <w:spacing w:before="480" w:after="200"/>
      <w:outlineLvl w:val="0"/>
    </w:pPr>
    <w:rPr>
      <w:rFonts w:ascii="Arial" w:hAnsi="Arial" w:eastAsia="Arial" w:cs="Arial"/>
      <w:sz w:val="40"/>
      <w:szCs w:val="40"/>
    </w:rPr>
  </w:style>
  <w:style w:type="character" w:styleId="854">
    <w:name w:val="Heading 1 Char"/>
    <w:link w:val="853"/>
    <w:uiPriority w:val="9"/>
    <w:rPr>
      <w:rFonts w:ascii="Arial" w:hAnsi="Arial" w:eastAsia="Arial" w:cs="Arial"/>
      <w:sz w:val="40"/>
      <w:szCs w:val="40"/>
    </w:rPr>
  </w:style>
  <w:style w:type="paragraph" w:styleId="855">
    <w:name w:val="Heading 2"/>
    <w:basedOn w:val="1030"/>
    <w:next w:val="1030"/>
    <w:link w:val="856"/>
    <w:uiPriority w:val="9"/>
    <w:unhideWhenUsed/>
    <w:qFormat/>
    <w:pPr>
      <w:keepLines/>
      <w:keepNext/>
      <w:spacing w:before="360" w:after="200"/>
      <w:outlineLvl w:val="1"/>
    </w:pPr>
    <w:rPr>
      <w:rFonts w:ascii="Arial" w:hAnsi="Arial" w:eastAsia="Arial" w:cs="Arial"/>
      <w:sz w:val="34"/>
    </w:rPr>
  </w:style>
  <w:style w:type="character" w:styleId="856">
    <w:name w:val="Heading 2 Char"/>
    <w:link w:val="855"/>
    <w:uiPriority w:val="9"/>
    <w:rPr>
      <w:rFonts w:ascii="Arial" w:hAnsi="Arial" w:eastAsia="Arial" w:cs="Arial"/>
      <w:sz w:val="34"/>
    </w:rPr>
  </w:style>
  <w:style w:type="paragraph" w:styleId="857">
    <w:name w:val="Heading 3"/>
    <w:basedOn w:val="1030"/>
    <w:next w:val="1030"/>
    <w:link w:val="858"/>
    <w:uiPriority w:val="9"/>
    <w:unhideWhenUsed/>
    <w:qFormat/>
    <w:pPr>
      <w:keepLines/>
      <w:keepNext/>
      <w:spacing w:before="320" w:after="200"/>
      <w:outlineLvl w:val="2"/>
    </w:pPr>
    <w:rPr>
      <w:rFonts w:ascii="Arial" w:hAnsi="Arial" w:eastAsia="Arial" w:cs="Arial"/>
      <w:sz w:val="30"/>
      <w:szCs w:val="30"/>
    </w:rPr>
  </w:style>
  <w:style w:type="character" w:styleId="858">
    <w:name w:val="Heading 3 Char"/>
    <w:link w:val="857"/>
    <w:uiPriority w:val="9"/>
    <w:rPr>
      <w:rFonts w:ascii="Arial" w:hAnsi="Arial" w:eastAsia="Arial" w:cs="Arial"/>
      <w:sz w:val="30"/>
      <w:szCs w:val="30"/>
    </w:rPr>
  </w:style>
  <w:style w:type="paragraph" w:styleId="859">
    <w:name w:val="Heading 4"/>
    <w:basedOn w:val="1030"/>
    <w:next w:val="1030"/>
    <w:link w:val="860"/>
    <w:uiPriority w:val="9"/>
    <w:unhideWhenUsed/>
    <w:qFormat/>
    <w:pPr>
      <w:keepLines/>
      <w:keepNext/>
      <w:spacing w:before="320" w:after="200"/>
      <w:outlineLvl w:val="3"/>
    </w:pPr>
    <w:rPr>
      <w:rFonts w:ascii="Arial" w:hAnsi="Arial" w:eastAsia="Arial" w:cs="Arial"/>
      <w:b/>
      <w:bCs/>
      <w:sz w:val="26"/>
      <w:szCs w:val="26"/>
    </w:rPr>
  </w:style>
  <w:style w:type="character" w:styleId="860">
    <w:name w:val="Heading 4 Char"/>
    <w:link w:val="859"/>
    <w:uiPriority w:val="9"/>
    <w:rPr>
      <w:rFonts w:ascii="Arial" w:hAnsi="Arial" w:eastAsia="Arial" w:cs="Arial"/>
      <w:b/>
      <w:bCs/>
      <w:sz w:val="26"/>
      <w:szCs w:val="26"/>
    </w:rPr>
  </w:style>
  <w:style w:type="paragraph" w:styleId="861">
    <w:name w:val="Heading 5"/>
    <w:basedOn w:val="1030"/>
    <w:next w:val="1030"/>
    <w:link w:val="862"/>
    <w:uiPriority w:val="9"/>
    <w:unhideWhenUsed/>
    <w:qFormat/>
    <w:pPr>
      <w:keepLines/>
      <w:keepNext/>
      <w:spacing w:before="320" w:after="200"/>
      <w:outlineLvl w:val="4"/>
    </w:pPr>
    <w:rPr>
      <w:rFonts w:ascii="Arial" w:hAnsi="Arial" w:eastAsia="Arial" w:cs="Arial"/>
      <w:b/>
      <w:bCs/>
      <w:sz w:val="24"/>
      <w:szCs w:val="24"/>
    </w:rPr>
  </w:style>
  <w:style w:type="character" w:styleId="862">
    <w:name w:val="Heading 5 Char"/>
    <w:link w:val="861"/>
    <w:uiPriority w:val="9"/>
    <w:rPr>
      <w:rFonts w:ascii="Arial" w:hAnsi="Arial" w:eastAsia="Arial" w:cs="Arial"/>
      <w:b/>
      <w:bCs/>
      <w:sz w:val="24"/>
      <w:szCs w:val="24"/>
    </w:rPr>
  </w:style>
  <w:style w:type="paragraph" w:styleId="863">
    <w:name w:val="Heading 6"/>
    <w:basedOn w:val="1030"/>
    <w:next w:val="1030"/>
    <w:link w:val="864"/>
    <w:uiPriority w:val="9"/>
    <w:unhideWhenUsed/>
    <w:qFormat/>
    <w:pPr>
      <w:keepLines/>
      <w:keepNext/>
      <w:spacing w:before="320" w:after="200"/>
      <w:outlineLvl w:val="5"/>
    </w:pPr>
    <w:rPr>
      <w:rFonts w:ascii="Arial" w:hAnsi="Arial" w:eastAsia="Arial" w:cs="Arial"/>
      <w:b/>
      <w:bCs/>
      <w:sz w:val="22"/>
      <w:szCs w:val="22"/>
    </w:rPr>
  </w:style>
  <w:style w:type="character" w:styleId="864">
    <w:name w:val="Heading 6 Char"/>
    <w:link w:val="863"/>
    <w:uiPriority w:val="9"/>
    <w:rPr>
      <w:rFonts w:ascii="Arial" w:hAnsi="Arial" w:eastAsia="Arial" w:cs="Arial"/>
      <w:b/>
      <w:bCs/>
      <w:sz w:val="22"/>
      <w:szCs w:val="22"/>
    </w:rPr>
  </w:style>
  <w:style w:type="paragraph" w:styleId="865">
    <w:name w:val="Heading 7"/>
    <w:basedOn w:val="1030"/>
    <w:next w:val="1030"/>
    <w:link w:val="866"/>
    <w:uiPriority w:val="9"/>
    <w:unhideWhenUsed/>
    <w:qFormat/>
    <w:pPr>
      <w:keepLines/>
      <w:keepNext/>
      <w:spacing w:before="320" w:after="200"/>
      <w:outlineLvl w:val="6"/>
    </w:pPr>
    <w:rPr>
      <w:rFonts w:ascii="Arial" w:hAnsi="Arial" w:eastAsia="Arial" w:cs="Arial"/>
      <w:b/>
      <w:bCs/>
      <w:i/>
      <w:iCs/>
      <w:sz w:val="22"/>
      <w:szCs w:val="22"/>
    </w:rPr>
  </w:style>
  <w:style w:type="character" w:styleId="866">
    <w:name w:val="Heading 7 Char"/>
    <w:link w:val="865"/>
    <w:uiPriority w:val="9"/>
    <w:rPr>
      <w:rFonts w:ascii="Arial" w:hAnsi="Arial" w:eastAsia="Arial" w:cs="Arial"/>
      <w:b/>
      <w:bCs/>
      <w:i/>
      <w:iCs/>
      <w:sz w:val="22"/>
      <w:szCs w:val="22"/>
    </w:rPr>
  </w:style>
  <w:style w:type="paragraph" w:styleId="867">
    <w:name w:val="Heading 8"/>
    <w:basedOn w:val="1030"/>
    <w:next w:val="1030"/>
    <w:link w:val="868"/>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8 Char"/>
    <w:link w:val="867"/>
    <w:uiPriority w:val="9"/>
    <w:rPr>
      <w:rFonts w:ascii="Arial" w:hAnsi="Arial" w:eastAsia="Arial" w:cs="Arial"/>
      <w:i/>
      <w:iCs/>
      <w:sz w:val="22"/>
      <w:szCs w:val="22"/>
    </w:rPr>
  </w:style>
  <w:style w:type="paragraph" w:styleId="869">
    <w:name w:val="Heading 9"/>
    <w:basedOn w:val="1030"/>
    <w:next w:val="1030"/>
    <w:link w:val="870"/>
    <w:uiPriority w:val="9"/>
    <w:unhideWhenUsed/>
    <w:qFormat/>
    <w:pPr>
      <w:keepLines/>
      <w:keepNext/>
      <w:spacing w:before="320" w:after="200"/>
      <w:outlineLvl w:val="8"/>
    </w:pPr>
    <w:rPr>
      <w:rFonts w:ascii="Arial" w:hAnsi="Arial" w:eastAsia="Arial" w:cs="Arial"/>
      <w:i/>
      <w:iCs/>
      <w:sz w:val="21"/>
      <w:szCs w:val="21"/>
    </w:rPr>
  </w:style>
  <w:style w:type="character" w:styleId="870">
    <w:name w:val="Heading 9 Char"/>
    <w:link w:val="869"/>
    <w:uiPriority w:val="9"/>
    <w:rPr>
      <w:rFonts w:ascii="Arial" w:hAnsi="Arial" w:eastAsia="Arial" w:cs="Arial"/>
      <w:i/>
      <w:iCs/>
      <w:sz w:val="21"/>
      <w:szCs w:val="21"/>
    </w:rPr>
  </w:style>
  <w:style w:type="paragraph" w:styleId="871">
    <w:name w:val="No Spacing"/>
    <w:uiPriority w:val="1"/>
    <w:qFormat/>
    <w:pPr>
      <w:spacing w:before="0" w:after="0" w:line="240" w:lineRule="auto"/>
    </w:pPr>
  </w:style>
  <w:style w:type="paragraph" w:styleId="872">
    <w:name w:val="Title"/>
    <w:basedOn w:val="1030"/>
    <w:next w:val="1030"/>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30"/>
    <w:next w:val="1030"/>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30"/>
    <w:next w:val="1030"/>
    <w:link w:val="877"/>
    <w:uiPriority w:val="29"/>
    <w:qFormat/>
    <w:pPr>
      <w:ind w:left="720" w:right="720"/>
    </w:pPr>
    <w:rPr>
      <w:i/>
    </w:rPr>
  </w:style>
  <w:style w:type="character" w:styleId="877">
    <w:name w:val="Quote Char"/>
    <w:link w:val="876"/>
    <w:uiPriority w:val="29"/>
    <w:rPr>
      <w:i/>
    </w:rPr>
  </w:style>
  <w:style w:type="paragraph" w:styleId="878">
    <w:name w:val="Intense Quote"/>
    <w:basedOn w:val="1030"/>
    <w:next w:val="1030"/>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30"/>
    <w:link w:val="881"/>
    <w:uiPriority w:val="99"/>
    <w:unhideWhenUsed/>
    <w:pPr>
      <w:spacing w:after="0" w:line="240" w:lineRule="auto"/>
      <w:tabs>
        <w:tab w:val="center" w:pos="7143" w:leader="none"/>
        <w:tab w:val="right" w:pos="14287" w:leader="none"/>
      </w:tabs>
    </w:pPr>
  </w:style>
  <w:style w:type="character" w:styleId="881">
    <w:name w:val="Header Char"/>
    <w:link w:val="880"/>
    <w:uiPriority w:val="99"/>
  </w:style>
  <w:style w:type="paragraph" w:styleId="882">
    <w:name w:val="Footer"/>
    <w:basedOn w:val="1030"/>
    <w:link w:val="885"/>
    <w:uiPriority w:val="99"/>
    <w:unhideWhenUsed/>
    <w:pPr>
      <w:spacing w:after="0" w:line="240" w:lineRule="auto"/>
      <w:tabs>
        <w:tab w:val="center" w:pos="7143" w:leader="none"/>
        <w:tab w:val="right" w:pos="14287" w:leader="none"/>
      </w:tabs>
    </w:pPr>
  </w:style>
  <w:style w:type="character" w:styleId="883">
    <w:name w:val="Footer Char"/>
    <w:link w:val="882"/>
    <w:uiPriority w:val="99"/>
  </w:style>
  <w:style w:type="paragraph" w:styleId="884">
    <w:name w:val="Caption"/>
    <w:basedOn w:val="1030"/>
    <w:next w:val="1030"/>
    <w:uiPriority w:val="35"/>
    <w:semiHidden/>
    <w:unhideWhenUsed/>
    <w:qFormat/>
    <w:pPr>
      <w:spacing w:line="276" w:lineRule="auto"/>
    </w:pPr>
    <w:rPr>
      <w:b/>
      <w:bCs/>
      <w:color w:val="4f81bd" w:themeColor="accent1"/>
      <w:sz w:val="18"/>
      <w:szCs w:val="18"/>
    </w:rPr>
  </w:style>
  <w:style w:type="character" w:styleId="885">
    <w:name w:val="Caption Char"/>
    <w:basedOn w:val="884"/>
    <w:link w:val="882"/>
    <w:uiPriority w:val="99"/>
  </w:style>
  <w:style w:type="table" w:styleId="8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2">
    <w:name w:val="Hyperlink"/>
    <w:uiPriority w:val="99"/>
    <w:unhideWhenUsed/>
    <w:rPr>
      <w:color w:val="0000ff" w:themeColor="hyperlink"/>
      <w:u w:val="single"/>
    </w:rPr>
  </w:style>
  <w:style w:type="paragraph" w:styleId="1013">
    <w:name w:val="footnote text"/>
    <w:basedOn w:val="1030"/>
    <w:link w:val="1014"/>
    <w:uiPriority w:val="99"/>
    <w:semiHidden/>
    <w:unhideWhenUsed/>
    <w:pPr>
      <w:spacing w:after="40" w:line="240" w:lineRule="auto"/>
    </w:pPr>
    <w:rPr>
      <w:sz w:val="18"/>
    </w:rPr>
  </w:style>
  <w:style w:type="character" w:styleId="1014">
    <w:name w:val="Footnote Text Char"/>
    <w:link w:val="1013"/>
    <w:uiPriority w:val="99"/>
    <w:rPr>
      <w:sz w:val="18"/>
    </w:rPr>
  </w:style>
  <w:style w:type="character" w:styleId="1015">
    <w:name w:val="footnote reference"/>
    <w:uiPriority w:val="99"/>
    <w:unhideWhenUsed/>
    <w:rPr>
      <w:vertAlign w:val="superscript"/>
    </w:rPr>
  </w:style>
  <w:style w:type="paragraph" w:styleId="1016">
    <w:name w:val="endnote text"/>
    <w:basedOn w:val="1030"/>
    <w:link w:val="1017"/>
    <w:uiPriority w:val="99"/>
    <w:semiHidden/>
    <w:unhideWhenUsed/>
    <w:pPr>
      <w:spacing w:after="0" w:line="240" w:lineRule="auto"/>
    </w:pPr>
    <w:rPr>
      <w:sz w:val="20"/>
    </w:rPr>
  </w:style>
  <w:style w:type="character" w:styleId="1017">
    <w:name w:val="Endnote Text Char"/>
    <w:link w:val="1016"/>
    <w:uiPriority w:val="99"/>
    <w:rPr>
      <w:sz w:val="20"/>
    </w:rPr>
  </w:style>
  <w:style w:type="character" w:styleId="1018">
    <w:name w:val="endnote reference"/>
    <w:uiPriority w:val="99"/>
    <w:semiHidden/>
    <w:unhideWhenUsed/>
    <w:rPr>
      <w:vertAlign w:val="superscript"/>
    </w:rPr>
  </w:style>
  <w:style w:type="paragraph" w:styleId="1019">
    <w:name w:val="toc 1"/>
    <w:basedOn w:val="1030"/>
    <w:next w:val="1030"/>
    <w:uiPriority w:val="39"/>
    <w:unhideWhenUsed/>
    <w:pPr>
      <w:ind w:left="0" w:right="0" w:firstLine="0"/>
      <w:spacing w:after="57"/>
    </w:pPr>
  </w:style>
  <w:style w:type="paragraph" w:styleId="1020">
    <w:name w:val="toc 2"/>
    <w:basedOn w:val="1030"/>
    <w:next w:val="1030"/>
    <w:uiPriority w:val="39"/>
    <w:unhideWhenUsed/>
    <w:pPr>
      <w:ind w:left="283" w:right="0" w:firstLine="0"/>
      <w:spacing w:after="57"/>
    </w:p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next w:val="1030"/>
    <w:link w:val="1030"/>
    <w:qFormat/>
    <w:pPr>
      <w:jc w:val="both"/>
      <w:widowControl w:val="off"/>
    </w:pPr>
    <w:rPr>
      <w:sz w:val="21"/>
      <w:szCs w:val="22"/>
      <w:lang w:val="en-US" w:eastAsia="zh-CN" w:bidi="ar-SA"/>
    </w:rPr>
  </w:style>
  <w:style w:type="paragraph" w:styleId="1031">
    <w:name w:val="标题 1"/>
    <w:basedOn w:val="1030"/>
    <w:next w:val="1030"/>
    <w:link w:val="1042"/>
    <w:uiPriority w:val="9"/>
    <w:qFormat/>
    <w:pPr>
      <w:keepLines/>
      <w:keepNext/>
      <w:spacing w:before="340" w:after="330" w:line="578" w:lineRule="auto"/>
      <w:outlineLvl w:val="0"/>
    </w:pPr>
    <w:rPr>
      <w:b/>
      <w:bCs/>
      <w:sz w:val="44"/>
      <w:szCs w:val="44"/>
    </w:rPr>
  </w:style>
  <w:style w:type="paragraph" w:styleId="1032">
    <w:name w:val="标题 2"/>
    <w:basedOn w:val="1030"/>
    <w:next w:val="1044"/>
    <w:link w:val="1043"/>
    <w:qFormat/>
    <w:pPr>
      <w:numPr>
        <w:ilvl w:val="1"/>
        <w:numId w:val="1"/>
      </w:numPr>
      <w:jc w:val="left"/>
      <w:keepLines/>
      <w:keepNext/>
      <w:spacing w:before="312" w:after="312"/>
      <w:outlineLvl w:val="1"/>
    </w:pPr>
    <w:rPr>
      <w:rFonts w:ascii="Arial" w:hAnsi="Arial"/>
      <w:b/>
      <w:bCs/>
      <w:sz w:val="28"/>
      <w:szCs w:val="36"/>
    </w:rPr>
  </w:style>
  <w:style w:type="paragraph" w:styleId="1033">
    <w:name w:val="标题 3"/>
    <w:basedOn w:val="1030"/>
    <w:next w:val="1030"/>
    <w:link w:val="1046"/>
    <w:qFormat/>
    <w:pPr>
      <w:numPr>
        <w:ilvl w:val="2"/>
        <w:numId w:val="1"/>
      </w:numPr>
      <w:jc w:val="left"/>
      <w:keepLines/>
      <w:keepNext/>
      <w:spacing w:before="312" w:after="312"/>
      <w:outlineLvl w:val="2"/>
    </w:pPr>
    <w:rPr>
      <w:rFonts w:ascii="Arial" w:hAnsi="Arial" w:eastAsia="黑体"/>
      <w:b/>
      <w:bCs/>
      <w:sz w:val="30"/>
      <w:szCs w:val="32"/>
    </w:rPr>
  </w:style>
  <w:style w:type="paragraph" w:styleId="1034">
    <w:name w:val="标题 4"/>
    <w:basedOn w:val="1030"/>
    <w:next w:val="1044"/>
    <w:link w:val="1047"/>
    <w:qFormat/>
    <w:pPr>
      <w:spacing w:before="280" w:after="290" w:line="377" w:lineRule="auto"/>
      <w:outlineLvl w:val="3"/>
    </w:pPr>
    <w:rPr>
      <w:rFonts w:ascii="Arial" w:hAnsi="Arial" w:eastAsia="黑体"/>
      <w:b/>
      <w:bCs/>
      <w:sz w:val="28"/>
      <w:szCs w:val="28"/>
    </w:rPr>
  </w:style>
  <w:style w:type="paragraph" w:styleId="1035">
    <w:name w:val="标题 5"/>
    <w:basedOn w:val="1030"/>
    <w:next w:val="1030"/>
    <w:link w:val="1048"/>
    <w:qFormat/>
    <w:pPr>
      <w:keepLines/>
      <w:keepNext/>
      <w:spacing w:before="280" w:after="290" w:line="376" w:lineRule="auto"/>
      <w:outlineLvl w:val="4"/>
    </w:pPr>
    <w:rPr>
      <w:rFonts w:ascii="Calibri" w:hAnsi="Calibri"/>
      <w:b/>
      <w:bCs/>
      <w:sz w:val="28"/>
      <w:szCs w:val="28"/>
    </w:rPr>
  </w:style>
  <w:style w:type="paragraph" w:styleId="1036">
    <w:name w:val="标题 6"/>
    <w:basedOn w:val="1030"/>
    <w:next w:val="1030"/>
    <w:link w:val="1049"/>
    <w:qFormat/>
    <w:pPr>
      <w:ind w:left="1152" w:hanging="1152"/>
      <w:keepLines/>
      <w:keepNext/>
      <w:spacing w:before="240" w:after="64" w:line="320" w:lineRule="auto"/>
      <w:outlineLvl w:val="5"/>
    </w:pPr>
    <w:rPr>
      <w:rFonts w:ascii="Cambria" w:hAnsi="Cambria"/>
      <w:b/>
      <w:bCs/>
      <w:sz w:val="24"/>
      <w:szCs w:val="24"/>
    </w:rPr>
  </w:style>
  <w:style w:type="paragraph" w:styleId="1037">
    <w:name w:val="标题 7"/>
    <w:basedOn w:val="1030"/>
    <w:next w:val="1030"/>
    <w:link w:val="1050"/>
    <w:qFormat/>
    <w:pPr>
      <w:ind w:left="1296" w:hanging="1296"/>
      <w:keepLines/>
      <w:keepNext/>
      <w:spacing w:before="240" w:after="64" w:line="320" w:lineRule="auto"/>
      <w:outlineLvl w:val="6"/>
    </w:pPr>
    <w:rPr>
      <w:b/>
      <w:bCs/>
      <w:sz w:val="24"/>
      <w:szCs w:val="24"/>
    </w:rPr>
  </w:style>
  <w:style w:type="paragraph" w:styleId="1038">
    <w:name w:val="标题 8"/>
    <w:basedOn w:val="1030"/>
    <w:next w:val="1030"/>
    <w:link w:val="1051"/>
    <w:qFormat/>
    <w:pPr>
      <w:ind w:left="1440" w:hanging="1440"/>
      <w:keepLines/>
      <w:keepNext/>
      <w:spacing w:before="240" w:after="64" w:line="320" w:lineRule="auto"/>
      <w:outlineLvl w:val="7"/>
    </w:pPr>
    <w:rPr>
      <w:rFonts w:ascii="Cambria" w:hAnsi="Cambria"/>
      <w:sz w:val="24"/>
      <w:szCs w:val="24"/>
    </w:rPr>
  </w:style>
  <w:style w:type="paragraph" w:styleId="1039">
    <w:name w:val="标题 9"/>
    <w:basedOn w:val="1030"/>
    <w:next w:val="1030"/>
    <w:link w:val="1052"/>
    <w:qFormat/>
    <w:pPr>
      <w:ind w:left="1584" w:hanging="1584"/>
      <w:keepLines/>
      <w:keepNext/>
      <w:spacing w:before="240" w:after="64" w:line="320" w:lineRule="auto"/>
      <w:outlineLvl w:val="8"/>
    </w:pPr>
    <w:rPr>
      <w:rFonts w:ascii="Cambria" w:hAnsi="Cambria"/>
      <w:sz w:val="20"/>
      <w:szCs w:val="21"/>
    </w:rPr>
  </w:style>
  <w:style w:type="character" w:styleId="1040">
    <w:name w:val="默认段落字体"/>
    <w:next w:val="1040"/>
    <w:link w:val="1030"/>
    <w:uiPriority w:val="1"/>
    <w:unhideWhenUsed/>
  </w:style>
  <w:style w:type="table" w:styleId="1041">
    <w:name w:val="普通表格"/>
    <w:next w:val="1041"/>
    <w:link w:val="1030"/>
    <w:uiPriority w:val="99"/>
    <w:unhideWhenUsed/>
    <w:tblPr/>
  </w:style>
  <w:style w:type="character" w:styleId="1042">
    <w:name w:val="标题 1 Char"/>
    <w:next w:val="1042"/>
    <w:link w:val="1031"/>
    <w:uiPriority w:val="9"/>
    <w:rPr>
      <w:b/>
      <w:bCs/>
      <w:sz w:val="44"/>
      <w:szCs w:val="44"/>
    </w:rPr>
  </w:style>
  <w:style w:type="character" w:styleId="1043">
    <w:name w:val="标题 2 Char"/>
    <w:next w:val="1043"/>
    <w:link w:val="1032"/>
    <w:rPr>
      <w:rFonts w:ascii="Arial" w:hAnsi="Arial" w:eastAsia="宋体" w:cs="Times New Roman"/>
      <w:b/>
      <w:bCs/>
      <w:sz w:val="28"/>
      <w:szCs w:val="36"/>
    </w:rPr>
  </w:style>
  <w:style w:type="paragraph" w:styleId="1044">
    <w:name w:val="正文缩进"/>
    <w:basedOn w:val="1030"/>
    <w:next w:val="1044"/>
    <w:link w:val="1045"/>
    <w:unhideWhenUsed/>
    <w:pPr>
      <w:ind w:firstLine="420"/>
    </w:pPr>
  </w:style>
  <w:style w:type="character" w:styleId="1045">
    <w:name w:val="正文缩进 Char"/>
    <w:next w:val="1045"/>
    <w:link w:val="1044"/>
  </w:style>
  <w:style w:type="character" w:styleId="1046">
    <w:name w:val="标题 3 Char"/>
    <w:next w:val="1046"/>
    <w:link w:val="1033"/>
    <w:rPr>
      <w:rFonts w:ascii="Arial" w:hAnsi="Arial" w:eastAsia="黑体" w:cs="Times New Roman"/>
      <w:b/>
      <w:bCs/>
      <w:sz w:val="30"/>
      <w:szCs w:val="32"/>
    </w:rPr>
  </w:style>
  <w:style w:type="character" w:styleId="1047">
    <w:name w:val="标题 4 Char"/>
    <w:next w:val="1047"/>
    <w:link w:val="1034"/>
    <w:rPr>
      <w:rFonts w:ascii="Arial" w:hAnsi="Arial" w:eastAsia="黑体" w:cs="Arial"/>
      <w:b/>
      <w:bCs/>
      <w:sz w:val="28"/>
      <w:szCs w:val="28"/>
    </w:rPr>
  </w:style>
  <w:style w:type="character" w:styleId="1048">
    <w:name w:val="标题 5 Char"/>
    <w:next w:val="1048"/>
    <w:link w:val="1035"/>
    <w:rPr>
      <w:rFonts w:ascii="Calibri" w:hAnsi="Calibri" w:eastAsia="宋体" w:cs="Times New Roman"/>
      <w:b/>
      <w:bCs/>
      <w:sz w:val="28"/>
      <w:szCs w:val="28"/>
    </w:rPr>
  </w:style>
  <w:style w:type="character" w:styleId="1049">
    <w:name w:val="标题 6 Char"/>
    <w:next w:val="1049"/>
    <w:link w:val="1036"/>
    <w:rPr>
      <w:rFonts w:ascii="Cambria" w:hAnsi="Cambria" w:eastAsia="宋体" w:cs="Times New Roman"/>
      <w:b/>
      <w:bCs/>
      <w:sz w:val="24"/>
      <w:szCs w:val="24"/>
    </w:rPr>
  </w:style>
  <w:style w:type="character" w:styleId="1050">
    <w:name w:val="标题 7 Char"/>
    <w:next w:val="1050"/>
    <w:link w:val="1037"/>
    <w:rPr>
      <w:rFonts w:ascii="Times New Roman" w:hAnsi="Times New Roman" w:eastAsia="宋体" w:cs="Times New Roman"/>
      <w:b/>
      <w:bCs/>
      <w:sz w:val="24"/>
      <w:szCs w:val="24"/>
    </w:rPr>
  </w:style>
  <w:style w:type="character" w:styleId="1051">
    <w:name w:val="标题 8 Char"/>
    <w:next w:val="1051"/>
    <w:link w:val="1038"/>
    <w:rPr>
      <w:rFonts w:ascii="Cambria" w:hAnsi="Cambria" w:eastAsia="宋体" w:cs="Times New Roman"/>
      <w:sz w:val="24"/>
      <w:szCs w:val="24"/>
    </w:rPr>
  </w:style>
  <w:style w:type="character" w:styleId="1052">
    <w:name w:val="标题 9 Char"/>
    <w:next w:val="1052"/>
    <w:link w:val="1039"/>
    <w:rPr>
      <w:rFonts w:ascii="Cambria" w:hAnsi="Cambria" w:eastAsia="宋体" w:cs="Times New Roman"/>
      <w:sz w:val="20"/>
      <w:szCs w:val="21"/>
    </w:rPr>
  </w:style>
  <w:style w:type="paragraph" w:styleId="1053">
    <w:name w:val="索引 8"/>
    <w:basedOn w:val="1030"/>
    <w:next w:val="1030"/>
    <w:link w:val="1030"/>
    <w:uiPriority w:val="99"/>
    <w:qFormat/>
    <w:pPr>
      <w:jc w:val="left"/>
    </w:pPr>
    <w:rPr>
      <w:rFonts w:ascii="宋体" w:hAnsi="宋体"/>
    </w:rPr>
  </w:style>
  <w:style w:type="paragraph" w:styleId="1054">
    <w:name w:val="文档结构图"/>
    <w:basedOn w:val="1030"/>
    <w:next w:val="1054"/>
    <w:link w:val="1055"/>
    <w:rPr>
      <w:rFonts w:ascii="宋体"/>
      <w:sz w:val="18"/>
      <w:szCs w:val="18"/>
    </w:rPr>
  </w:style>
  <w:style w:type="character" w:styleId="1055">
    <w:name w:val="文档结构图 Char"/>
    <w:next w:val="1055"/>
    <w:link w:val="1054"/>
    <w:rPr>
      <w:rFonts w:ascii="宋体" w:hAnsi="Times New Roman"/>
      <w:sz w:val="18"/>
      <w:szCs w:val="18"/>
    </w:rPr>
  </w:style>
  <w:style w:type="paragraph" w:styleId="1056">
    <w:name w:val="批注文字"/>
    <w:basedOn w:val="1030"/>
    <w:next w:val="1056"/>
    <w:link w:val="1057"/>
    <w:uiPriority w:val="99"/>
    <w:unhideWhenUsed/>
    <w:pPr>
      <w:jc w:val="left"/>
    </w:pPr>
    <w:rPr>
      <w:sz w:val="20"/>
      <w:szCs w:val="24"/>
    </w:rPr>
  </w:style>
  <w:style w:type="character" w:styleId="1057">
    <w:name w:val="批注文字 Char1"/>
    <w:next w:val="1057"/>
    <w:link w:val="1056"/>
    <w:uiPriority w:val="99"/>
    <w:rPr>
      <w:rFonts w:ascii="Times New Roman" w:hAnsi="Times New Roman" w:eastAsia="宋体" w:cs="Times New Roman"/>
      <w:szCs w:val="24"/>
    </w:rPr>
  </w:style>
  <w:style w:type="paragraph" w:styleId="1058">
    <w:name w:val="正文文本 3"/>
    <w:basedOn w:val="1030"/>
    <w:next w:val="1058"/>
    <w:link w:val="1059"/>
    <w:rPr>
      <w:rFonts w:ascii="宋体"/>
      <w:sz w:val="24"/>
      <w:szCs w:val="20"/>
    </w:rPr>
  </w:style>
  <w:style w:type="character" w:styleId="1059">
    <w:name w:val="正文文本 3 Char"/>
    <w:next w:val="1059"/>
    <w:link w:val="1058"/>
    <w:rPr>
      <w:rFonts w:ascii="宋体" w:hAnsi="Times New Roman"/>
      <w:sz w:val="24"/>
    </w:rPr>
  </w:style>
  <w:style w:type="paragraph" w:styleId="1060">
    <w:name w:val="正文文本"/>
    <w:basedOn w:val="1030"/>
    <w:next w:val="1060"/>
    <w:link w:val="1061"/>
    <w:rPr>
      <w:rFonts w:ascii="楷体_GB2312" w:hAnsi="Arial" w:eastAsia="楷体_GB2312"/>
      <w:sz w:val="28"/>
      <w:szCs w:val="28"/>
    </w:rPr>
  </w:style>
  <w:style w:type="character" w:styleId="1061">
    <w:name w:val="正文文本 Char"/>
    <w:next w:val="1061"/>
    <w:link w:val="1060"/>
    <w:rPr>
      <w:rFonts w:ascii="楷体_GB2312" w:hAnsi="Arial" w:eastAsia="楷体_GB2312" w:cs="Times New Roman"/>
      <w:sz w:val="28"/>
      <w:szCs w:val="28"/>
    </w:rPr>
  </w:style>
  <w:style w:type="paragraph" w:styleId="1062">
    <w:name w:val="正文文本缩进"/>
    <w:basedOn w:val="1030"/>
    <w:next w:val="1062"/>
    <w:link w:val="1063"/>
    <w:uiPriority w:val="99"/>
    <w:pPr>
      <w:ind w:left="420"/>
      <w:spacing w:after="120"/>
    </w:pPr>
    <w:rPr>
      <w:sz w:val="20"/>
      <w:szCs w:val="24"/>
    </w:rPr>
  </w:style>
  <w:style w:type="character" w:styleId="1063">
    <w:name w:val="正文文本缩进 Char"/>
    <w:next w:val="1063"/>
    <w:link w:val="1062"/>
    <w:uiPriority w:val="99"/>
    <w:rPr>
      <w:rFonts w:ascii="Times New Roman" w:hAnsi="Times New Roman"/>
      <w:szCs w:val="24"/>
    </w:rPr>
  </w:style>
  <w:style w:type="paragraph" w:styleId="1064">
    <w:name w:val="文本块"/>
    <w:basedOn w:val="1030"/>
    <w:next w:val="1064"/>
    <w:link w:val="1030"/>
    <w:uiPriority w:val="99"/>
    <w:unhideWhenUsed/>
    <w:qFormat/>
    <w:pPr>
      <w:ind w:left="1440" w:right="1440"/>
      <w:spacing w:after="120"/>
    </w:pPr>
  </w:style>
  <w:style w:type="paragraph" w:styleId="1065">
    <w:name w:val="列表项目符号 2"/>
    <w:basedOn w:val="1030"/>
    <w:next w:val="1065"/>
    <w:link w:val="1030"/>
    <w:uiPriority w:val="99"/>
    <w:unhideWhenUsed/>
    <w:pPr>
      <w:numPr>
        <w:ilvl w:val="0"/>
        <w:numId w:val="2"/>
      </w:numPr>
      <w:tabs>
        <w:tab w:val="left" w:pos="780" w:leader="none"/>
      </w:tabs>
    </w:pPr>
  </w:style>
  <w:style w:type="paragraph" w:styleId="1066">
    <w:name w:val="目录 3"/>
    <w:basedOn w:val="1030"/>
    <w:next w:val="1030"/>
    <w:link w:val="1030"/>
    <w:uiPriority w:val="39"/>
    <w:unhideWhenUsed/>
    <w:pPr>
      <w:ind w:left="840"/>
    </w:pPr>
    <w:rPr>
      <w:rFonts w:ascii="Calibri" w:hAnsi="Calibri" w:eastAsia="宋体" w:cs="Times New Roman"/>
    </w:rPr>
  </w:style>
  <w:style w:type="paragraph" w:styleId="1067">
    <w:name w:val="纯文本"/>
    <w:basedOn w:val="1030"/>
    <w:next w:val="1067"/>
    <w:link w:val="1068"/>
    <w:rPr>
      <w:rFonts w:ascii="宋体" w:hAnsi="Courier New"/>
      <w:sz w:val="20"/>
      <w:szCs w:val="21"/>
    </w:rPr>
  </w:style>
  <w:style w:type="character" w:styleId="1068">
    <w:name w:val="纯文本 Char"/>
    <w:next w:val="1068"/>
    <w:link w:val="1067"/>
    <w:rPr>
      <w:rFonts w:ascii="宋体" w:hAnsi="Courier New" w:eastAsia="宋体" w:cs="Times New Roman"/>
      <w:szCs w:val="21"/>
    </w:rPr>
  </w:style>
  <w:style w:type="paragraph" w:styleId="1069">
    <w:name w:val="日期"/>
    <w:basedOn w:val="1030"/>
    <w:next w:val="1030"/>
    <w:link w:val="1030"/>
    <w:uiPriority w:val="99"/>
    <w:qFormat/>
    <w:pPr>
      <w:ind w:left="100"/>
    </w:pPr>
    <w:rPr>
      <w:rFonts w:eastAsia="楷体_GB2312"/>
      <w:b/>
      <w:bCs/>
      <w:sz w:val="32"/>
    </w:rPr>
  </w:style>
  <w:style w:type="paragraph" w:styleId="1070">
    <w:name w:val="正文文本缩进 2"/>
    <w:basedOn w:val="1071"/>
    <w:next w:val="1071"/>
    <w:link w:val="1072"/>
    <w:pPr>
      <w:ind w:firstLine="562"/>
      <w:spacing w:line="480" w:lineRule="exact"/>
    </w:pPr>
    <w:rPr>
      <w:rFonts w:ascii="楷体_GB2312" w:eastAsia="楷体_GB2312"/>
      <w:b/>
      <w:bCs/>
      <w:sz w:val="28"/>
      <w:szCs w:val="24"/>
    </w:rPr>
  </w:style>
  <w:style w:type="paragraph" w:styleId="1071">
    <w:name w:val="正文首行缩进 2"/>
    <w:basedOn w:val="1062"/>
    <w:next w:val="1071"/>
    <w:link w:val="1030"/>
    <w:qFormat/>
    <w:pPr>
      <w:ind w:firstLine="420"/>
    </w:pPr>
  </w:style>
  <w:style w:type="character" w:styleId="1072">
    <w:name w:val="正文文本缩进 2 Char"/>
    <w:next w:val="1072"/>
    <w:link w:val="1070"/>
    <w:rPr>
      <w:rFonts w:ascii="楷体_GB2312" w:hAnsi="Times New Roman" w:eastAsia="楷体_GB2312"/>
      <w:b/>
      <w:bCs/>
      <w:sz w:val="28"/>
      <w:szCs w:val="24"/>
    </w:rPr>
  </w:style>
  <w:style w:type="paragraph" w:styleId="1073">
    <w:name w:val="批注框文本"/>
    <w:basedOn w:val="1030"/>
    <w:next w:val="1073"/>
    <w:link w:val="1074"/>
    <w:uiPriority w:val="99"/>
    <w:unhideWhenUsed/>
    <w:rPr>
      <w:sz w:val="18"/>
      <w:szCs w:val="18"/>
    </w:rPr>
  </w:style>
  <w:style w:type="character" w:styleId="1074">
    <w:name w:val="批注框文本 Char"/>
    <w:next w:val="1074"/>
    <w:link w:val="1073"/>
    <w:uiPriority w:val="99"/>
    <w:rPr>
      <w:sz w:val="18"/>
      <w:szCs w:val="18"/>
    </w:rPr>
  </w:style>
  <w:style w:type="paragraph" w:styleId="1075">
    <w:name w:val="页脚"/>
    <w:basedOn w:val="1030"/>
    <w:next w:val="1075"/>
    <w:link w:val="1076"/>
    <w:uiPriority w:val="99"/>
    <w:unhideWhenUsed/>
    <w:pPr>
      <w:jc w:val="left"/>
      <w:tabs>
        <w:tab w:val="center" w:pos="4153" w:leader="none"/>
        <w:tab w:val="right" w:pos="8306" w:leader="none"/>
      </w:tabs>
    </w:pPr>
    <w:rPr>
      <w:sz w:val="18"/>
      <w:szCs w:val="18"/>
    </w:rPr>
  </w:style>
  <w:style w:type="character" w:styleId="1076">
    <w:name w:val="页脚 Char"/>
    <w:next w:val="1076"/>
    <w:link w:val="1075"/>
    <w:uiPriority w:val="99"/>
    <w:rPr>
      <w:rFonts w:ascii="Times New Roman" w:hAnsi="Times New Roman" w:eastAsia="宋体" w:cs="Times New Roman"/>
      <w:sz w:val="18"/>
      <w:szCs w:val="18"/>
    </w:rPr>
  </w:style>
  <w:style w:type="paragraph" w:styleId="1077">
    <w:name w:val="寄信人地址"/>
    <w:basedOn w:val="1030"/>
    <w:next w:val="1077"/>
    <w:link w:val="1030"/>
    <w:uiPriority w:val="99"/>
    <w:unhideWhenUsed/>
    <w:qFormat/>
    <w:rPr>
      <w:rFonts w:ascii="Arial" w:hAnsi="Arial"/>
    </w:rPr>
  </w:style>
  <w:style w:type="paragraph" w:styleId="1078">
    <w:name w:val="页眉"/>
    <w:basedOn w:val="1030"/>
    <w:next w:val="1078"/>
    <w:link w:val="1079"/>
    <w:uiPriority w:val="99"/>
    <w:unhideWhenUsed/>
    <w:pPr>
      <w:jc w:val="center"/>
      <w:tabs>
        <w:tab w:val="center" w:pos="4153" w:leader="none"/>
        <w:tab w:val="right" w:pos="8306" w:leader="none"/>
      </w:tabs>
      <w:pBdr>
        <w:bottom w:val="single" w:color="000000" w:sz="6" w:space="1"/>
      </w:pBdr>
    </w:pPr>
    <w:rPr>
      <w:sz w:val="18"/>
      <w:szCs w:val="18"/>
    </w:rPr>
  </w:style>
  <w:style w:type="character" w:styleId="1079">
    <w:name w:val="页眉 Char"/>
    <w:next w:val="1079"/>
    <w:link w:val="1078"/>
    <w:uiPriority w:val="99"/>
    <w:rPr>
      <w:rFonts w:ascii="Times New Roman" w:hAnsi="Times New Roman" w:eastAsia="宋体" w:cs="Times New Roman"/>
      <w:sz w:val="18"/>
      <w:szCs w:val="18"/>
    </w:rPr>
  </w:style>
  <w:style w:type="paragraph" w:styleId="1080">
    <w:name w:val="目录 1"/>
    <w:basedOn w:val="1030"/>
    <w:next w:val="1030"/>
    <w:link w:val="1030"/>
    <w:uiPriority w:val="39"/>
    <w:unhideWhenUsed/>
    <w:rPr>
      <w:rFonts w:ascii="Calibri" w:hAnsi="Calibri" w:eastAsia="宋体" w:cs="Times New Roman"/>
    </w:rPr>
  </w:style>
  <w:style w:type="paragraph" w:styleId="1081">
    <w:name w:val="图表目录"/>
    <w:basedOn w:val="1030"/>
    <w:next w:val="1030"/>
    <w:link w:val="1030"/>
    <w:semiHidden/>
    <w:pPr>
      <w:ind w:left="840" w:hanging="420"/>
      <w:spacing w:before="156" w:after="156"/>
    </w:pPr>
    <w:rPr>
      <w:rFonts w:ascii="Times New Roman" w:hAnsi="Times New Roman" w:eastAsia="宋体" w:cs="Times New Roman"/>
      <w:sz w:val="24"/>
      <w:szCs w:val="24"/>
    </w:rPr>
  </w:style>
  <w:style w:type="paragraph" w:styleId="1082">
    <w:name w:val="目录 2"/>
    <w:basedOn w:val="1030"/>
    <w:next w:val="1030"/>
    <w:link w:val="1030"/>
    <w:uiPriority w:val="39"/>
    <w:unhideWhenUsed/>
    <w:pPr>
      <w:ind w:left="420"/>
    </w:pPr>
    <w:rPr>
      <w:rFonts w:ascii="Calibri" w:hAnsi="Calibri" w:eastAsia="宋体" w:cs="Times New Roman"/>
    </w:rPr>
  </w:style>
  <w:style w:type="paragraph" w:styleId="1083">
    <w:name w:val="目录 9"/>
    <w:basedOn w:val="1030"/>
    <w:next w:val="1030"/>
    <w:link w:val="1030"/>
    <w:uiPriority w:val="39"/>
    <w:unhideWhenUsed/>
    <w:qFormat/>
    <w:pPr>
      <w:ind w:left="2268" w:right="0" w:firstLine="0"/>
      <w:spacing w:after="57"/>
    </w:pPr>
  </w:style>
  <w:style w:type="paragraph" w:styleId="1084">
    <w:name w:val="正文文本 2"/>
    <w:basedOn w:val="1030"/>
    <w:next w:val="1084"/>
    <w:link w:val="1030"/>
    <w:qFormat/>
    <w:pPr>
      <w:spacing w:after="120" w:line="480" w:lineRule="auto"/>
    </w:pPr>
  </w:style>
  <w:style w:type="paragraph" w:styleId="1085">
    <w:name w:val="普通(网站)"/>
    <w:basedOn w:val="1030"/>
    <w:next w:val="1085"/>
    <w:link w:val="1030"/>
    <w:uiPriority w:val="99"/>
    <w:unhideWhenUsed/>
    <w:rPr>
      <w:rFonts w:ascii="Times New Roman" w:hAnsi="Times New Roman" w:eastAsia="宋体" w:cs="Times New Roman"/>
      <w:sz w:val="24"/>
    </w:rPr>
  </w:style>
  <w:style w:type="paragraph" w:styleId="1086">
    <w:name w:val="批注主题"/>
    <w:basedOn w:val="1056"/>
    <w:next w:val="1056"/>
    <w:link w:val="1087"/>
    <w:uiPriority w:val="99"/>
    <w:unhideWhenUsed/>
    <w:rPr>
      <w:b/>
      <w:bCs/>
      <w:szCs w:val="20"/>
    </w:rPr>
  </w:style>
  <w:style w:type="character" w:styleId="1087">
    <w:name w:val="批注主题 Char"/>
    <w:next w:val="1087"/>
    <w:link w:val="1086"/>
    <w:uiPriority w:val="99"/>
    <w:rPr>
      <w:b/>
      <w:bCs/>
    </w:rPr>
  </w:style>
  <w:style w:type="paragraph" w:styleId="1088">
    <w:name w:val="正文首行缩进"/>
    <w:basedOn w:val="1060"/>
    <w:next w:val="1088"/>
    <w:link w:val="1030"/>
    <w:qFormat/>
    <w:pPr>
      <w:ind w:left="300" w:firstLine="420"/>
      <w:spacing w:after="120"/>
    </w:pPr>
    <w:rPr>
      <w:rFonts w:ascii="宋体" w:hAnsi="Verdana"/>
      <w:sz w:val="28"/>
      <w:lang w:val="en-GB"/>
    </w:rPr>
  </w:style>
  <w:style w:type="table" w:styleId="1089">
    <w:name w:val="网格型"/>
    <w:basedOn w:val="1041"/>
    <w:next w:val="1089"/>
    <w:link w:val="1030"/>
    <w:uiPriority w:val="99"/>
    <w:pPr>
      <w:jc w:val="both"/>
      <w:widowControl w:val="off"/>
    </w:pPr>
    <w:rPr>
      <w:rFonts w:ascii="Calibri" w:hAnsi="Calibri" w:eastAsia="宋体" w:cs="Times New Roman"/>
      <w:sz w:val="20"/>
      <w:szCs w:val="20"/>
    </w:rPr>
    <w:tblPr/>
  </w:style>
  <w:style w:type="character" w:styleId="1090">
    <w:name w:val="要点"/>
    <w:next w:val="1090"/>
    <w:link w:val="1030"/>
    <w:uiPriority w:val="22"/>
    <w:qFormat/>
    <w:rPr>
      <w:rFonts w:ascii="Tahoma" w:hAnsi="Tahoma" w:eastAsia="宋体"/>
      <w:b/>
      <w:bCs/>
      <w:spacing w:val="10"/>
      <w:sz w:val="24"/>
      <w:lang w:val="en-US" w:eastAsia="zh-CN" w:bidi="ar-SA"/>
    </w:rPr>
  </w:style>
  <w:style w:type="character" w:styleId="1091">
    <w:name w:val="页码"/>
    <w:next w:val="1091"/>
    <w:link w:val="1030"/>
  </w:style>
  <w:style w:type="character" w:styleId="1092">
    <w:name w:val="强调"/>
    <w:next w:val="1092"/>
    <w:link w:val="1030"/>
    <w:qFormat/>
    <w:rPr>
      <w:rFonts w:ascii="Times New Roman" w:hAnsi="Times New Roman"/>
      <w:i/>
      <w:iCs/>
      <w:sz w:val="21"/>
      <w:szCs w:val="20"/>
    </w:rPr>
  </w:style>
  <w:style w:type="character" w:styleId="1093">
    <w:name w:val="超链接"/>
    <w:next w:val="1093"/>
    <w:link w:val="1030"/>
    <w:unhideWhenUsed/>
    <w:rPr>
      <w:color w:val="0000ff"/>
      <w:u w:val="single"/>
    </w:rPr>
  </w:style>
  <w:style w:type="character" w:styleId="1094">
    <w:name w:val="批注引用"/>
    <w:next w:val="1094"/>
    <w:link w:val="1030"/>
    <w:uiPriority w:val="99"/>
    <w:unhideWhenUsed/>
    <w:rPr>
      <w:sz w:val="21"/>
      <w:szCs w:val="21"/>
    </w:rPr>
  </w:style>
  <w:style w:type="paragraph" w:styleId="1095">
    <w:name w:val="正文1"/>
    <w:basedOn w:val="1030"/>
    <w:next w:val="1095"/>
    <w:link w:val="1096"/>
    <w:uiPriority w:val="99"/>
    <w:pPr>
      <w:ind w:firstLine="480"/>
      <w:spacing w:line="440" w:lineRule="exact"/>
    </w:pPr>
    <w:rPr>
      <w:rFonts w:ascii="微软雅黑" w:hAnsi="微软雅黑" w:eastAsia="微软雅黑"/>
      <w:sz w:val="24"/>
      <w:szCs w:val="20"/>
    </w:rPr>
  </w:style>
  <w:style w:type="character" w:styleId="1096">
    <w:name w:val="正文1 Char Char"/>
    <w:next w:val="1096"/>
    <w:link w:val="1095"/>
    <w:uiPriority w:val="99"/>
    <w:rPr>
      <w:rFonts w:ascii="微软雅黑" w:hAnsi="微软雅黑" w:eastAsia="微软雅黑"/>
      <w:sz w:val="24"/>
    </w:rPr>
  </w:style>
  <w:style w:type="character" w:styleId="1097">
    <w:name w:val="文档结构图 Char1"/>
    <w:next w:val="1097"/>
    <w:link w:val="1030"/>
    <w:uiPriority w:val="99"/>
    <w:semiHidden/>
    <w:rPr>
      <w:rFonts w:ascii="宋体"/>
      <w:sz w:val="18"/>
      <w:szCs w:val="18"/>
    </w:rPr>
  </w:style>
  <w:style w:type="character" w:styleId="1098">
    <w:name w:val="批注框文本 Char1"/>
    <w:next w:val="1098"/>
    <w:link w:val="1030"/>
    <w:uiPriority w:val="99"/>
    <w:semiHidden/>
    <w:rPr>
      <w:rFonts w:ascii="Times New Roman" w:hAnsi="Times New Roman"/>
      <w:sz w:val="18"/>
      <w:szCs w:val="18"/>
    </w:rPr>
  </w:style>
  <w:style w:type="character" w:styleId="1099">
    <w:name w:val="正文文本 3 Char1"/>
    <w:next w:val="1099"/>
    <w:link w:val="1030"/>
    <w:uiPriority w:val="99"/>
    <w:semiHidden/>
    <w:rPr>
      <w:sz w:val="16"/>
      <w:szCs w:val="16"/>
    </w:rPr>
  </w:style>
  <w:style w:type="character" w:styleId="1100">
    <w:name w:val="正文缩进 Char1,表正文 Char,正文非缩进 Char,特点 Char1,上海中望标准正文（首行缩进两字） Char Char Char Char Char Char Char,上海中望标准正文（首行缩进两字） Char,ALT+Z Char,正文不缩进 Char,特点 Char Char,水上软件 Char,四号 Char,缩进 Char,段1 Char,正文双线 Char,正文缩进 Char Char,正文（首行缩进两字） Char Char,。 Char,鋘drad Char"/>
    <w:next w:val="1100"/>
    <w:link w:val="1030"/>
    <w:rPr>
      <w:rFonts w:ascii="Times New Roman" w:hAnsi="Times New Roman" w:eastAsia="宋体" w:cs="Times New Roman"/>
      <w:szCs w:val="20"/>
    </w:rPr>
  </w:style>
  <w:style w:type="character" w:styleId="1101">
    <w:name w:val="font221"/>
    <w:next w:val="1101"/>
    <w:link w:val="1030"/>
    <w:rPr>
      <w:rFonts w:hint="eastAsia" w:ascii="宋体" w:hAnsi="宋体" w:eastAsia="宋体" w:cs="宋体"/>
      <w:b/>
      <w:i w:val="0"/>
      <w:color w:val="000000"/>
      <w:sz w:val="20"/>
      <w:szCs w:val="20"/>
      <w:u w:val="none"/>
    </w:rPr>
  </w:style>
  <w:style w:type="character" w:styleId="1102">
    <w:name w:val="font91"/>
    <w:next w:val="1102"/>
    <w:link w:val="1030"/>
    <w:qFormat/>
    <w:rPr>
      <w:rFonts w:hint="eastAsia" w:ascii="宋体" w:hAnsi="宋体" w:eastAsia="宋体" w:cs="宋体"/>
      <w:color w:val="000000"/>
      <w:sz w:val="16"/>
      <w:szCs w:val="16"/>
      <w:u w:val="none"/>
    </w:rPr>
  </w:style>
  <w:style w:type="character" w:styleId="1103">
    <w:name w:val="font81"/>
    <w:next w:val="1103"/>
    <w:link w:val="1030"/>
    <w:rPr>
      <w:rFonts w:ascii="Symbol" w:hAnsi="Symbol" w:cs="Symbol"/>
      <w:i w:val="0"/>
      <w:color w:val="000000"/>
      <w:sz w:val="20"/>
      <w:szCs w:val="20"/>
      <w:u w:val="none"/>
    </w:rPr>
  </w:style>
  <w:style w:type="character" w:styleId="1104">
    <w:name w:val=" Char Char9"/>
    <w:next w:val="1104"/>
    <w:link w:val="1030"/>
    <w:rPr>
      <w:rFonts w:ascii="等线 Light" w:hAnsi="等线 Light" w:eastAsia="等线 Light" w:cs="Times New Roman"/>
      <w:b/>
      <w:bCs/>
      <w:sz w:val="28"/>
      <w:szCs w:val="28"/>
    </w:rPr>
  </w:style>
  <w:style w:type="character" w:styleId="1105">
    <w:name w:val="font131"/>
    <w:next w:val="1105"/>
    <w:link w:val="1030"/>
    <w:rPr>
      <w:rFonts w:ascii="Wingdings 2" w:hAnsi="Wingdings 2" w:eastAsia="Wingdings 2" w:cs="Wingdings 2"/>
      <w:i w:val="0"/>
      <w:color w:val="000000"/>
      <w:sz w:val="20"/>
      <w:szCs w:val="20"/>
      <w:u w:val="none"/>
    </w:rPr>
  </w:style>
  <w:style w:type="character" w:styleId="1106">
    <w:name w:val=" Char Char8"/>
    <w:next w:val="1106"/>
    <w:link w:val="1030"/>
    <w:rPr>
      <w:rFonts w:ascii="Calibri" w:hAnsi="Calibri" w:eastAsia="宋体" w:cs="Times New Roman"/>
      <w:b/>
      <w:bCs/>
      <w:sz w:val="28"/>
      <w:szCs w:val="28"/>
    </w:rPr>
  </w:style>
  <w:style w:type="character" w:styleId="1107">
    <w:name w:val="apple-style-span"/>
    <w:next w:val="1107"/>
    <w:link w:val="1030"/>
  </w:style>
  <w:style w:type="character" w:styleId="1108">
    <w:name w:val="font141"/>
    <w:next w:val="1108"/>
    <w:link w:val="1030"/>
    <w:rPr>
      <w:rFonts w:hint="eastAsia" w:ascii="宋体" w:hAnsi="宋体" w:eastAsia="宋体" w:cs="宋体"/>
      <w:i w:val="0"/>
      <w:color w:val="ff0000"/>
      <w:sz w:val="20"/>
      <w:szCs w:val="20"/>
      <w:u w:val="none"/>
      <w:vertAlign w:val="superscript"/>
    </w:rPr>
  </w:style>
  <w:style w:type="character" w:styleId="1109">
    <w:name w:val="font211"/>
    <w:next w:val="1109"/>
    <w:link w:val="1030"/>
    <w:rPr>
      <w:rFonts w:hint="eastAsia" w:ascii="宋体" w:hAnsi="宋体" w:eastAsia="宋体" w:cs="宋体"/>
      <w:i w:val="0"/>
      <w:color w:val="ff0000"/>
      <w:sz w:val="20"/>
      <w:szCs w:val="20"/>
      <w:u w:val="none"/>
      <w:vertAlign w:val="superscript"/>
    </w:rPr>
  </w:style>
  <w:style w:type="character" w:styleId="1110">
    <w:name w:val="H2 Char"/>
    <w:next w:val="1110"/>
    <w:link w:val="1030"/>
    <w:rPr>
      <w:rFonts w:ascii="Arial" w:hAnsi="Arial" w:eastAsia="黑体" w:cs="Times New Roman"/>
      <w:b/>
      <w:bCs/>
      <w:sz w:val="32"/>
      <w:szCs w:val="32"/>
    </w:rPr>
  </w:style>
  <w:style w:type="character" w:styleId="1111">
    <w:name w:val="font101"/>
    <w:next w:val="1111"/>
    <w:link w:val="1030"/>
    <w:qFormat/>
    <w:rPr>
      <w:rFonts w:hint="eastAsia" w:ascii="宋体" w:hAnsi="宋体" w:eastAsia="宋体" w:cs="宋体"/>
      <w:b/>
      <w:color w:val="000000"/>
      <w:sz w:val="18"/>
      <w:szCs w:val="18"/>
      <w:u w:val="none"/>
    </w:rPr>
  </w:style>
  <w:style w:type="character" w:styleId="1112">
    <w:name w:val="一级缩进 Char"/>
    <w:next w:val="1112"/>
    <w:link w:val="1113"/>
    <w:rPr>
      <w:rFonts w:eastAsia="仿宋_GB2312"/>
      <w:sz w:val="32"/>
      <w:szCs w:val="32"/>
      <w:lang w:val="en-US" w:eastAsia="zh-CN" w:bidi="ar-SA"/>
    </w:rPr>
  </w:style>
  <w:style w:type="paragraph" w:styleId="1113">
    <w:name w:val="一级缩进"/>
    <w:next w:val="1113"/>
    <w:link w:val="1112"/>
    <w:qFormat/>
    <w:pPr>
      <w:ind w:left="987"/>
      <w:jc w:val="both"/>
      <w:spacing w:before="120" w:after="120" w:line="360" w:lineRule="auto"/>
      <w:tabs>
        <w:tab w:val="left" w:pos="720" w:leader="none"/>
      </w:tabs>
    </w:pPr>
    <w:rPr>
      <w:rFonts w:eastAsia="仿宋_GB2312"/>
      <w:sz w:val="32"/>
      <w:szCs w:val="32"/>
      <w:lang w:val="en-US" w:eastAsia="zh-CN" w:bidi="ar-SA"/>
    </w:rPr>
  </w:style>
  <w:style w:type="character" w:styleId="1114">
    <w:name w:val="font171"/>
    <w:next w:val="1114"/>
    <w:link w:val="1030"/>
    <w:rPr>
      <w:rFonts w:hint="eastAsia" w:ascii="宋体" w:hAnsi="宋体" w:eastAsia="宋体" w:cs="宋体"/>
      <w:i w:val="0"/>
      <w:color w:val="000000"/>
      <w:sz w:val="20"/>
      <w:szCs w:val="20"/>
      <w:u w:val="none"/>
    </w:rPr>
  </w:style>
  <w:style w:type="character" w:styleId="1115">
    <w:name w:val="正文文本缩进 2 Char1"/>
    <w:next w:val="1115"/>
    <w:link w:val="1030"/>
    <w:uiPriority w:val="99"/>
    <w:semiHidden/>
  </w:style>
  <w:style w:type="character" w:styleId="1116">
    <w:name w:val="font01"/>
    <w:next w:val="1116"/>
    <w:link w:val="1030"/>
    <w:rPr>
      <w:rFonts w:hint="eastAsia" w:ascii="宋体" w:hAnsi="宋体" w:eastAsia="宋体"/>
      <w:color w:val="000000"/>
      <w:sz w:val="24"/>
      <w:szCs w:val="24"/>
      <w:u w:val="none"/>
    </w:rPr>
  </w:style>
  <w:style w:type="character" w:styleId="1117">
    <w:name w:val="ca-161"/>
    <w:next w:val="1117"/>
    <w:link w:val="1030"/>
    <w:rPr>
      <w:rFonts w:hint="eastAsia" w:ascii="宋体" w:hAnsi="宋体" w:eastAsia="宋体"/>
      <w:spacing w:val="0"/>
      <w:sz w:val="21"/>
      <w:szCs w:val="21"/>
    </w:rPr>
  </w:style>
  <w:style w:type="character" w:styleId="1118">
    <w:name w:val="font41"/>
    <w:next w:val="1118"/>
    <w:link w:val="1030"/>
    <w:rPr>
      <w:rFonts w:hint="eastAsia" w:ascii="宋体" w:hAnsi="宋体" w:eastAsia="宋体"/>
      <w:color w:val="000000"/>
      <w:sz w:val="32"/>
      <w:szCs w:val="32"/>
      <w:u w:val="none"/>
    </w:rPr>
  </w:style>
  <w:style w:type="character" w:styleId="1119">
    <w:name w:val="表格样式居中 Char"/>
    <w:next w:val="1119"/>
    <w:link w:val="1120"/>
    <w:rPr>
      <w:rFonts w:ascii="宋体" w:hAnsi="宋体"/>
      <w:bCs/>
      <w:sz w:val="21"/>
      <w:szCs w:val="21"/>
      <w:lang w:val="zh-CN" w:eastAsia="zh-CN" w:bidi="ar-SA"/>
    </w:rPr>
  </w:style>
  <w:style w:type="paragraph" w:styleId="1120">
    <w:name w:val="表格样式居中"/>
    <w:next w:val="1120"/>
    <w:link w:val="1119"/>
    <w:pPr>
      <w:jc w:val="center"/>
      <w:spacing w:line="360" w:lineRule="auto"/>
    </w:pPr>
    <w:rPr>
      <w:rFonts w:ascii="宋体" w:hAnsi="宋体"/>
      <w:bCs/>
      <w:sz w:val="21"/>
      <w:szCs w:val="21"/>
      <w:lang w:val="zh-CN" w:eastAsia="zh-CN" w:bidi="ar-SA"/>
    </w:rPr>
  </w:style>
  <w:style w:type="character" w:styleId="1121">
    <w:name w:val="表格文字 Char"/>
    <w:next w:val="1121"/>
    <w:link w:val="1122"/>
    <w:rPr>
      <w:szCs w:val="21"/>
    </w:rPr>
  </w:style>
  <w:style w:type="paragraph" w:styleId="1122">
    <w:name w:val="表格文字"/>
    <w:basedOn w:val="1030"/>
    <w:next w:val="1122"/>
    <w:link w:val="1121"/>
    <w:pPr>
      <w:jc w:val="left"/>
    </w:pPr>
    <w:rPr>
      <w:sz w:val="20"/>
      <w:szCs w:val="21"/>
    </w:rPr>
  </w:style>
  <w:style w:type="character" w:styleId="1123">
    <w:name w:val="批注主题 Char1"/>
    <w:next w:val="1123"/>
    <w:link w:val="1030"/>
    <w:uiPriority w:val="99"/>
    <w:semiHidden/>
    <w:rPr>
      <w:rFonts w:ascii="Times New Roman" w:hAnsi="Times New Roman" w:eastAsia="宋体" w:cs="Times New Roman"/>
      <w:b/>
      <w:bCs/>
      <w:szCs w:val="24"/>
    </w:rPr>
  </w:style>
  <w:style w:type="character" w:styleId="1124">
    <w:name w:val="font241"/>
    <w:next w:val="1124"/>
    <w:link w:val="1030"/>
    <w:rPr>
      <w:rFonts w:hint="eastAsia" w:ascii="宋体" w:hAnsi="宋体" w:eastAsia="宋体" w:cs="宋体"/>
      <w:i w:val="0"/>
      <w:color w:val="000000"/>
      <w:sz w:val="20"/>
      <w:szCs w:val="20"/>
      <w:u w:val="none"/>
    </w:rPr>
  </w:style>
  <w:style w:type="character" w:styleId="1125">
    <w:name w:val="font231"/>
    <w:next w:val="1125"/>
    <w:link w:val="1030"/>
    <w:rPr>
      <w:rFonts w:hint="eastAsia" w:ascii="宋体" w:hAnsi="宋体" w:eastAsia="宋体" w:cs="宋体"/>
      <w:i w:val="0"/>
      <w:color w:val="000000"/>
      <w:sz w:val="20"/>
      <w:szCs w:val="20"/>
      <w:u w:val="none"/>
    </w:rPr>
  </w:style>
  <w:style w:type="character" w:styleId="1126">
    <w:name w:val="font191"/>
    <w:next w:val="1126"/>
    <w:link w:val="1030"/>
    <w:rPr>
      <w:rFonts w:ascii="Wingdings 2" w:hAnsi="Wingdings 2" w:eastAsia="Wingdings 2" w:cs="Wingdings 2"/>
      <w:i w:val="0"/>
      <w:color w:val="000000"/>
      <w:sz w:val="20"/>
      <w:szCs w:val="20"/>
      <w:u w:val="none"/>
    </w:rPr>
  </w:style>
  <w:style w:type="character" w:styleId="1127">
    <w:name w:val="font21"/>
    <w:next w:val="1127"/>
    <w:link w:val="1030"/>
    <w:rPr>
      <w:rFonts w:hint="eastAsia" w:ascii="仿宋_GB2312" w:hAnsi="Times New Roman" w:eastAsia="仿宋_GB2312" w:cs="仿宋_GB2312"/>
      <w:i w:val="0"/>
      <w:color w:val="000000"/>
      <w:sz w:val="22"/>
      <w:szCs w:val="22"/>
      <w:u w:val="none"/>
    </w:rPr>
  </w:style>
  <w:style w:type="character" w:styleId="1128">
    <w:name w:val="标题 5 字符"/>
    <w:next w:val="1128"/>
    <w:link w:val="1030"/>
    <w:semiHidden/>
    <w:rPr>
      <w:rFonts w:ascii="Calibri" w:hAnsi="Calibri"/>
      <w:b/>
      <w:bCs/>
      <w:sz w:val="28"/>
      <w:szCs w:val="28"/>
    </w:rPr>
  </w:style>
  <w:style w:type="character" w:styleId="1129">
    <w:name w:val="font201"/>
    <w:next w:val="1129"/>
    <w:link w:val="1030"/>
    <w:rPr>
      <w:rFonts w:ascii="Times New Roman" w:hAnsi="Times New Roman" w:cs="Times New Roman"/>
      <w:i w:val="0"/>
      <w:color w:val="000000"/>
      <w:sz w:val="20"/>
      <w:szCs w:val="20"/>
      <w:u w:val="none"/>
    </w:rPr>
  </w:style>
  <w:style w:type="character" w:styleId="1130">
    <w:name w:val="项目排列 Char"/>
    <w:next w:val="1130"/>
    <w:link w:val="1131"/>
    <w:rPr>
      <w:sz w:val="24"/>
      <w:szCs w:val="24"/>
    </w:rPr>
  </w:style>
  <w:style w:type="paragraph" w:styleId="1131">
    <w:name w:val="项目排列"/>
    <w:basedOn w:val="1030"/>
    <w:next w:val="1131"/>
    <w:link w:val="1130"/>
    <w:pPr>
      <w:numPr>
        <w:ilvl w:val="0"/>
        <w:numId w:val="3"/>
      </w:numPr>
      <w:spacing w:before="156" w:after="156" w:line="300" w:lineRule="auto"/>
      <w:tabs>
        <w:tab w:val="left" w:pos="900" w:leader="none"/>
      </w:tabs>
    </w:pPr>
    <w:rPr>
      <w:sz w:val="24"/>
      <w:szCs w:val="24"/>
    </w:rPr>
  </w:style>
  <w:style w:type="character" w:styleId="1132">
    <w:name w:val=" Char Char10"/>
    <w:next w:val="1132"/>
    <w:link w:val="1030"/>
    <w:rPr>
      <w:rFonts w:ascii="Arial" w:hAnsi="Arial" w:eastAsia="黑体" w:cs="Times New Roman"/>
      <w:b/>
      <w:bCs/>
      <w:sz w:val="30"/>
      <w:szCs w:val="32"/>
    </w:rPr>
  </w:style>
  <w:style w:type="character" w:styleId="1133">
    <w:name w:val="批注文字 Char"/>
    <w:next w:val="1133"/>
    <w:link w:val="1030"/>
    <w:uiPriority w:val="99"/>
    <w:rPr>
      <w:sz w:val="21"/>
      <w:szCs w:val="22"/>
    </w:rPr>
  </w:style>
  <w:style w:type="character" w:styleId="1134">
    <w:name w:val="font51"/>
    <w:next w:val="1134"/>
    <w:link w:val="1030"/>
    <w:qFormat/>
    <w:rPr>
      <w:rFonts w:hint="eastAsia" w:ascii="宋体" w:hAnsi="宋体" w:eastAsia="宋体" w:cs="宋体"/>
      <w:b/>
      <w:color w:val="000000"/>
      <w:sz w:val="20"/>
      <w:szCs w:val="20"/>
      <w:u w:val="none"/>
    </w:rPr>
  </w:style>
  <w:style w:type="character" w:styleId="1135">
    <w:name w:val="font11"/>
    <w:next w:val="1135"/>
    <w:link w:val="1030"/>
    <w:qFormat/>
    <w:rPr>
      <w:rFonts w:hint="eastAsia" w:ascii="宋体" w:hAnsi="宋体" w:eastAsia="宋体" w:cs="宋体"/>
      <w:color w:val="000000"/>
      <w:sz w:val="20"/>
      <w:szCs w:val="20"/>
      <w:u w:val="none"/>
    </w:rPr>
  </w:style>
  <w:style w:type="character" w:styleId="1136">
    <w:name w:val=" Char Char11"/>
    <w:next w:val="1136"/>
    <w:link w:val="1030"/>
    <w:rPr>
      <w:rFonts w:ascii="Arial" w:hAnsi="Arial" w:eastAsia="宋体" w:cs="Times New Roman"/>
      <w:b/>
      <w:bCs/>
      <w:sz w:val="28"/>
      <w:szCs w:val="36"/>
    </w:rPr>
  </w:style>
  <w:style w:type="character" w:styleId="1137">
    <w:name w:val="段落 Char1"/>
    <w:next w:val="1137"/>
    <w:link w:val="1138"/>
    <w:rPr>
      <w:rFonts w:eastAsia="仿宋_GB2312"/>
      <w:sz w:val="32"/>
      <w:szCs w:val="32"/>
      <w:lang w:val="en-US" w:eastAsia="zh-CN" w:bidi="ar-SA"/>
    </w:rPr>
  </w:style>
  <w:style w:type="paragraph" w:styleId="1138">
    <w:name w:val="段落"/>
    <w:next w:val="1138"/>
    <w:link w:val="1137"/>
    <w:pPr>
      <w:ind w:firstLine="640"/>
      <w:jc w:val="both"/>
      <w:spacing w:before="120" w:after="120" w:line="360" w:lineRule="auto"/>
    </w:pPr>
    <w:rPr>
      <w:rFonts w:eastAsia="仿宋_GB2312"/>
      <w:sz w:val="32"/>
      <w:szCs w:val="32"/>
      <w:lang w:val="en-US" w:eastAsia="zh-CN" w:bidi="ar-SA"/>
    </w:rPr>
  </w:style>
  <w:style w:type="character" w:styleId="1139">
    <w:name w:val="font71"/>
    <w:next w:val="1139"/>
    <w:link w:val="1030"/>
    <w:rPr>
      <w:rFonts w:hint="eastAsia" w:ascii="宋体" w:hAnsi="宋体" w:eastAsia="宋体" w:cs="宋体"/>
      <w:i w:val="0"/>
      <w:color w:val="000000"/>
      <w:sz w:val="20"/>
      <w:szCs w:val="20"/>
      <w:u w:val="none"/>
    </w:rPr>
  </w:style>
  <w:style w:type="character" w:styleId="1140">
    <w:name w:val="font31"/>
    <w:next w:val="1140"/>
    <w:link w:val="1030"/>
    <w:rPr>
      <w:rFonts w:hint="eastAsia" w:ascii="宋体" w:hAnsi="宋体" w:eastAsia="宋体" w:cs="宋体"/>
      <w:i w:val="0"/>
      <w:color w:val="000000"/>
      <w:sz w:val="20"/>
      <w:szCs w:val="20"/>
      <w:u w:val="none"/>
    </w:rPr>
  </w:style>
  <w:style w:type="character" w:styleId="1141">
    <w:name w:val="font111"/>
    <w:next w:val="1141"/>
    <w:link w:val="1030"/>
    <w:qFormat/>
    <w:rPr>
      <w:rFonts w:hint="eastAsia" w:ascii="宋体" w:hAnsi="宋体" w:eastAsia="宋体" w:cs="宋体"/>
      <w:color w:val="ff0000"/>
      <w:sz w:val="18"/>
      <w:szCs w:val="18"/>
      <w:u w:val="none"/>
    </w:rPr>
  </w:style>
  <w:style w:type="character" w:styleId="1142">
    <w:name w:val="不明显强调"/>
    <w:next w:val="1142"/>
    <w:link w:val="1030"/>
    <w:uiPriority w:val="19"/>
    <w:qFormat/>
    <w:rPr>
      <w:rFonts w:ascii="Times New Roman" w:hAnsi="Times New Roman"/>
      <w:i/>
      <w:iCs/>
      <w:color w:val="808080"/>
      <w:sz w:val="21"/>
      <w:szCs w:val="20"/>
    </w:rPr>
  </w:style>
  <w:style w:type="character" w:styleId="1143">
    <w:name w:val="unnamed11"/>
    <w:next w:val="1143"/>
    <w:link w:val="1030"/>
    <w:uiPriority w:val="99"/>
    <w:qFormat/>
    <w:rPr>
      <w:rFonts w:hint="eastAsia" w:ascii="宋体" w:hAnsi="宋体" w:eastAsia="宋体"/>
      <w:sz w:val="21"/>
      <w:szCs w:val="21"/>
    </w:rPr>
  </w:style>
  <w:style w:type="character" w:styleId="1144">
    <w:name w:val="正文文本缩进 Char1"/>
    <w:next w:val="1144"/>
    <w:link w:val="1030"/>
    <w:uiPriority w:val="99"/>
    <w:semiHidden/>
  </w:style>
  <w:style w:type="character" w:styleId="1145">
    <w:name w:val="NormalCharacter1"/>
    <w:next w:val="1145"/>
    <w:link w:val="1030"/>
    <w:semiHidden/>
    <w:qFormat/>
    <w:rPr>
      <w:sz w:val="21"/>
      <w:szCs w:val="24"/>
      <w:lang w:val="en-US" w:eastAsia="zh-CN" w:bidi="ar-SA"/>
    </w:rPr>
  </w:style>
  <w:style w:type="character" w:styleId="1146">
    <w:name w:val="表格样式居左 Char"/>
    <w:next w:val="1146"/>
    <w:link w:val="1147"/>
    <w:rPr>
      <w:rFonts w:eastAsia="仿宋_GB2312"/>
      <w:bCs/>
      <w:color w:val="000000"/>
      <w:sz w:val="21"/>
      <w:szCs w:val="44"/>
      <w:lang w:val="en-US" w:eastAsia="zh-CN" w:bidi="ar-SA"/>
    </w:rPr>
  </w:style>
  <w:style w:type="paragraph" w:styleId="1147">
    <w:name w:val="表格样式居左"/>
    <w:next w:val="1147"/>
    <w:link w:val="1146"/>
    <w:pPr>
      <w:spacing w:line="360" w:lineRule="exact"/>
    </w:pPr>
    <w:rPr>
      <w:rFonts w:eastAsia="仿宋_GB2312"/>
      <w:bCs/>
      <w:color w:val="000000"/>
      <w:sz w:val="21"/>
      <w:szCs w:val="44"/>
      <w:lang w:val="en-US" w:eastAsia="zh-CN" w:bidi="ar-SA"/>
    </w:rPr>
  </w:style>
  <w:style w:type="character" w:styleId="1148">
    <w:name w:val="列出段落 Char,Bullet List Char,numbered Char,FooterText Char,List Paragraph1 Char,Paragraphe de liste1 Char"/>
    <w:next w:val="1148"/>
    <w:link w:val="1149"/>
    <w:rPr>
      <w:rFonts w:ascii="Calibri" w:hAnsi="Calibri" w:eastAsia="宋体" w:cs="Times New Roman"/>
    </w:rPr>
  </w:style>
  <w:style w:type="paragraph" w:styleId="1149">
    <w:name w:val="列出段落1"/>
    <w:basedOn w:val="1030"/>
    <w:next w:val="1149"/>
    <w:link w:val="1148"/>
    <w:qFormat/>
    <w:pPr>
      <w:ind w:firstLine="200"/>
    </w:pPr>
    <w:rPr>
      <w:rFonts w:ascii="Calibri" w:hAnsi="Calibri"/>
      <w:sz w:val="20"/>
      <w:szCs w:val="20"/>
    </w:rPr>
  </w:style>
  <w:style w:type="character" w:styleId="1150">
    <w:name w:val="无间隔 Char"/>
    <w:next w:val="1150"/>
    <w:link w:val="1151"/>
    <w:rPr>
      <w:sz w:val="21"/>
      <w:szCs w:val="22"/>
      <w:lang w:val="en-US" w:eastAsia="zh-CN" w:bidi="ar-SA"/>
    </w:rPr>
  </w:style>
  <w:style w:type="paragraph" w:styleId="1151">
    <w:name w:val="msonospacing"/>
    <w:next w:val="1151"/>
    <w:link w:val="1150"/>
    <w:pPr>
      <w:jc w:val="both"/>
      <w:widowControl w:val="off"/>
    </w:pPr>
    <w:rPr>
      <w:sz w:val="21"/>
      <w:szCs w:val="22"/>
      <w:lang w:val="en-US" w:eastAsia="zh-CN" w:bidi="ar-SA"/>
    </w:rPr>
  </w:style>
  <w:style w:type="character" w:styleId="1152">
    <w:name w:val="font61"/>
    <w:next w:val="1152"/>
    <w:link w:val="1030"/>
    <w:rPr>
      <w:rFonts w:hint="eastAsia" w:ascii="宋体" w:hAnsi="宋体" w:eastAsia="宋体" w:cs="宋体"/>
      <w:i w:val="0"/>
      <w:color w:val="000000"/>
      <w:sz w:val="20"/>
      <w:szCs w:val="20"/>
      <w:u w:val="none"/>
    </w:rPr>
  </w:style>
  <w:style w:type="character" w:styleId="1153">
    <w:name w:val="font161"/>
    <w:next w:val="1153"/>
    <w:link w:val="1030"/>
    <w:rPr>
      <w:rFonts w:hint="eastAsia" w:ascii="宋体" w:hAnsi="宋体" w:eastAsia="宋体" w:cs="宋体"/>
      <w:b/>
      <w:i w:val="0"/>
      <w:color w:val="ff0000"/>
      <w:sz w:val="20"/>
      <w:szCs w:val="20"/>
      <w:u w:val="none"/>
    </w:rPr>
  </w:style>
  <w:style w:type="character" w:styleId="1154">
    <w:name w:val=" Char Char12"/>
    <w:next w:val="1154"/>
    <w:link w:val="1030"/>
    <w:rPr>
      <w:b/>
      <w:bCs/>
      <w:sz w:val="44"/>
      <w:szCs w:val="44"/>
    </w:rPr>
  </w:style>
  <w:style w:type="paragraph" w:styleId="1155">
    <w:name w:val="正文文本1"/>
    <w:basedOn w:val="1095"/>
    <w:next w:val="1156"/>
    <w:link w:val="1030"/>
    <w:qFormat/>
    <w:pPr>
      <w:spacing w:after="120"/>
    </w:pPr>
    <w:rPr>
      <w:lang w:val="en-US" w:eastAsia="en-US"/>
    </w:rPr>
  </w:style>
  <w:style w:type="paragraph" w:styleId="1156">
    <w:name w:val="一级条标题"/>
    <w:basedOn w:val="1157"/>
    <w:next w:val="1158"/>
    <w:link w:val="103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7">
    <w:name w:val="章标题"/>
    <w:next w:val="1030"/>
    <w:link w:val="103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58">
    <w:name w:val="段"/>
    <w:next w:val="1030"/>
    <w:link w:val="1030"/>
    <w:pPr>
      <w:ind w:firstLine="420"/>
      <w:jc w:val="both"/>
      <w:tabs>
        <w:tab w:val="center" w:pos="4201" w:leader="none"/>
        <w:tab w:val="right" w:pos="9298" w:leader="dot"/>
      </w:tabs>
    </w:pPr>
    <w:rPr>
      <w:rFonts w:ascii="宋体"/>
      <w:lang w:val="en-US" w:eastAsia="zh-CN" w:bidi="ar-SA"/>
    </w:rPr>
  </w:style>
  <w:style w:type="paragraph" w:styleId="1159">
    <w:name w:val="_Style 2"/>
    <w:basedOn w:val="1030"/>
    <w:next w:val="1159"/>
    <w:link w:val="1030"/>
    <w:uiPriority w:val="34"/>
    <w:qFormat/>
    <w:pPr>
      <w:ind w:firstLine="420"/>
    </w:pPr>
    <w:rPr>
      <w:rFonts w:ascii="Times New Roman" w:hAnsi="Times New Roman"/>
      <w:szCs w:val="24"/>
    </w:rPr>
  </w:style>
  <w:style w:type="paragraph" w:styleId="1160">
    <w:name w:val="样式 段后: 0.25 行"/>
    <w:basedOn w:val="1030"/>
    <w:next w:val="1161"/>
    <w:link w:val="1030"/>
    <w:qFormat/>
    <w:pPr>
      <w:ind w:left="420" w:firstLine="5796"/>
      <w:spacing w:line="300" w:lineRule="auto"/>
      <w:widowControl/>
    </w:pPr>
  </w:style>
  <w:style w:type="paragraph" w:styleId="1161">
    <w:name w:val="正文 New New New New New New New New New New New New New New"/>
    <w:next w:val="1083"/>
    <w:link w:val="1030"/>
    <w:qFormat/>
    <w:pPr>
      <w:ind w:firstLine="2048"/>
      <w:jc w:val="both"/>
      <w:widowControl w:val="off"/>
    </w:pPr>
    <w:rPr>
      <w:lang w:val="en-US" w:eastAsia="zh-CN" w:bidi="ar-SA"/>
    </w:rPr>
  </w:style>
  <w:style w:type="paragraph" w:styleId="1162">
    <w:name w:val=" Char"/>
    <w:basedOn w:val="1030"/>
    <w:next w:val="1162"/>
    <w:link w:val="1030"/>
    <w:pPr>
      <w:ind w:left="1350" w:hanging="1350"/>
      <w:tabs>
        <w:tab w:val="left" w:pos="1350" w:leader="none"/>
      </w:tabs>
    </w:pPr>
    <w:rPr>
      <w:rFonts w:ascii="Times New Roman" w:hAnsi="Times New Roman"/>
      <w:sz w:val="24"/>
      <w:szCs w:val="24"/>
    </w:rPr>
  </w:style>
  <w:style w:type="paragraph" w:styleId="1163">
    <w:name w:val="Char"/>
    <w:basedOn w:val="1030"/>
    <w:next w:val="1163"/>
    <w:link w:val="1030"/>
    <w:pPr>
      <w:ind w:firstLine="200"/>
      <w:tabs>
        <w:tab w:val="left" w:pos="360" w:leader="none"/>
      </w:tabs>
    </w:pPr>
    <w:rPr>
      <w:rFonts w:ascii="Times New Roman" w:hAnsi="Times New Roman" w:eastAsia="宋体" w:cs="Times New Roman"/>
      <w:sz w:val="28"/>
      <w:szCs w:val="30"/>
    </w:rPr>
  </w:style>
  <w:style w:type="paragraph" w:styleId="1164">
    <w:name w:val="列出段落2"/>
    <w:basedOn w:val="1030"/>
    <w:next w:val="1164"/>
    <w:link w:val="1030"/>
    <w:uiPriority w:val="34"/>
    <w:qFormat/>
    <w:pPr>
      <w:ind w:firstLine="420"/>
    </w:pPr>
    <w:rPr>
      <w:rFonts w:ascii="宋体"/>
      <w:color w:val="404040"/>
    </w:rPr>
  </w:style>
  <w:style w:type="paragraph" w:styleId="1165">
    <w:name w:val="文档标题"/>
    <w:basedOn w:val="1030"/>
    <w:next w:val="1165"/>
    <w:link w:val="1030"/>
    <w:pPr>
      <w:jc w:val="center"/>
      <w:spacing w:before="312" w:after="312" w:line="300" w:lineRule="auto"/>
    </w:pPr>
    <w:rPr>
      <w:rFonts w:ascii="Arial" w:hAnsi="Arial" w:eastAsia="黑体" w:cs="Arial"/>
      <w:b/>
      <w:sz w:val="48"/>
      <w:szCs w:val="32"/>
    </w:rPr>
  </w:style>
  <w:style w:type="paragraph" w:styleId="1166">
    <w:name w:val="List Paragraph"/>
    <w:basedOn w:val="1030"/>
    <w:next w:val="1166"/>
    <w:link w:val="1030"/>
    <w:pPr>
      <w:ind w:firstLine="420"/>
    </w:pPr>
    <w:rPr>
      <w:rFonts w:ascii="Times New Roman" w:hAnsi="Times New Roman" w:eastAsia="宋体" w:cs="Times New Roman"/>
      <w:szCs w:val="20"/>
    </w:rPr>
  </w:style>
  <w:style w:type="paragraph" w:styleId="1167">
    <w:name w:val="FUNO正文"/>
    <w:next w:val="1167"/>
    <w:link w:val="1030"/>
    <w:qFormat/>
    <w:pPr>
      <w:ind w:firstLine="480"/>
      <w:jc w:val="both"/>
      <w:spacing w:line="360" w:lineRule="auto"/>
    </w:pPr>
    <w:rPr>
      <w:rFonts w:ascii="宋体" w:hAnsi="宋体"/>
      <w:sz w:val="24"/>
      <w:szCs w:val="21"/>
      <w:lang w:val="en-US" w:eastAsia="zh-CN" w:bidi="ar-SA"/>
    </w:rPr>
  </w:style>
  <w:style w:type="paragraph" w:styleId="1168">
    <w:name w:val="默认段落字体 Para Char Char Char Char Char Char Char"/>
    <w:basedOn w:val="1030"/>
    <w:next w:val="1169"/>
    <w:link w:val="1030"/>
    <w:qFormat/>
    <w:pPr>
      <w:ind w:firstLine="5632"/>
    </w:pPr>
  </w:style>
  <w:style w:type="paragraph" w:styleId="1169">
    <w:name w:val="样式 首行缩进:  2 字符"/>
    <w:basedOn w:val="1030"/>
    <w:next w:val="1160"/>
    <w:link w:val="1030"/>
    <w:qFormat/>
    <w:pPr>
      <w:ind w:left="480" w:firstLine="5856"/>
      <w:spacing w:line="360" w:lineRule="auto"/>
    </w:pPr>
  </w:style>
  <w:style w:type="paragraph" w:styleId="1170">
    <w:name w:val="正文文本 21"/>
    <w:basedOn w:val="1030"/>
    <w:next w:val="1168"/>
    <w:link w:val="1030"/>
    <w:qFormat/>
    <w:pPr>
      <w:spacing w:after="120" w:line="480" w:lineRule="auto"/>
    </w:pPr>
  </w:style>
  <w:style w:type="paragraph" w:styleId="1171">
    <w:name w:val="无间隔"/>
    <w:next w:val="1171"/>
    <w:link w:val="1030"/>
    <w:qFormat/>
    <w:pPr>
      <w:jc w:val="both"/>
      <w:widowControl w:val="off"/>
    </w:pPr>
    <w:rPr>
      <w:sz w:val="21"/>
      <w:szCs w:val="22"/>
      <w:lang w:val="en-US" w:eastAsia="zh-CN" w:bidi="ar-SA"/>
    </w:rPr>
  </w:style>
  <w:style w:type="paragraph" w:styleId="1172">
    <w:name w:val="Normal_2"/>
    <w:next w:val="1172"/>
    <w:link w:val="1030"/>
    <w:qFormat/>
    <w:pPr>
      <w:jc w:val="both"/>
      <w:widowControl w:val="off"/>
    </w:pPr>
    <w:rPr>
      <w:sz w:val="21"/>
      <w:szCs w:val="22"/>
      <w:lang w:val="en-US" w:eastAsia="zh-CN" w:bidi="ar-SA"/>
    </w:rPr>
  </w:style>
  <w:style w:type="paragraph" w:styleId="1173">
    <w:name w:val="unnamed1"/>
    <w:basedOn w:val="1030"/>
    <w:next w:val="1173"/>
    <w:link w:val="1030"/>
    <w:qFormat/>
    <w:pPr>
      <w:jc w:val="left"/>
      <w:spacing w:before="100" w:beforeAutospacing="1" w:after="100" w:afterAutospacing="1" w:line="288" w:lineRule="auto"/>
      <w:widowControl/>
    </w:pPr>
    <w:rPr>
      <w:rFonts w:hint="eastAsia" w:ascii="宋体" w:hAnsi="宋体"/>
      <w:szCs w:val="21"/>
    </w:rPr>
  </w:style>
  <w:style w:type="paragraph" w:styleId="1174">
    <w:name w:val=" Char1 Char Char Char Char Char Char"/>
    <w:basedOn w:val="1030"/>
    <w:next w:val="1174"/>
    <w:link w:val="1030"/>
    <w:rPr>
      <w:rFonts w:ascii="Times New Roman" w:hAnsi="Times New Roman"/>
      <w:szCs w:val="24"/>
    </w:rPr>
  </w:style>
  <w:style w:type="paragraph" w:styleId="1175">
    <w:name w:val="Default Paragraph Font Para Char"/>
    <w:basedOn w:val="1030"/>
    <w:next w:val="1175"/>
    <w:link w:val="1030"/>
    <w:pPr>
      <w:jc w:val="left"/>
      <w:spacing w:before="156" w:after="160" w:line="240" w:lineRule="exact"/>
      <w:widowControl/>
    </w:pPr>
    <w:rPr>
      <w:rFonts w:ascii="Verdana" w:hAnsi="Verdana" w:eastAsia="宋体" w:cs="Times New Roman"/>
      <w:sz w:val="20"/>
      <w:szCs w:val="20"/>
      <w:lang w:eastAsia="en-US"/>
    </w:rPr>
  </w:style>
  <w:style w:type="paragraph" w:styleId="1176">
    <w:name w:val="正文 1.1.1"/>
    <w:basedOn w:val="1030"/>
    <w:next w:val="1030"/>
    <w:link w:val="1030"/>
    <w:qFormat/>
    <w:pPr>
      <w:numPr>
        <w:ilvl w:val="2"/>
        <w:numId w:val="4"/>
      </w:numPr>
      <w:tabs>
        <w:tab w:val="left" w:pos="851" w:leader="none"/>
      </w:tabs>
      <w:outlineLvl w:val="2"/>
    </w:pPr>
    <w:rPr>
      <w:rFonts w:hAnsi="宋体" w:eastAsia="宋体"/>
      <w:color w:val="ff0000"/>
    </w:rPr>
  </w:style>
  <w:style w:type="paragraph" w:styleId="1177">
    <w:name w:val="正文 1.1"/>
    <w:basedOn w:val="1030"/>
    <w:next w:val="1176"/>
    <w:link w:val="1030"/>
    <w:qFormat/>
    <w:pPr>
      <w:numPr>
        <w:ilvl w:val="1"/>
        <w:numId w:val="4"/>
      </w:numPr>
      <w:ind w:firstLine="550"/>
      <w:tabs>
        <w:tab w:val="left" w:pos="851" w:leader="none"/>
      </w:tabs>
      <w:outlineLvl w:val="1"/>
    </w:pPr>
    <w:rPr>
      <w:rFonts w:ascii="仿宋" w:hAnsi="仿宋"/>
      <w:b/>
    </w:rPr>
  </w:style>
  <w:style w:type="paragraph" w:styleId="1178">
    <w:name w:val=" Char Char Char Char Char Char Char"/>
    <w:basedOn w:val="1054"/>
    <w:next w:val="1178"/>
    <w:link w:val="1030"/>
    <w:pPr>
      <w:shd w:val="clear" w:color="auto" w:fill="000080"/>
    </w:pPr>
    <w:rPr>
      <w:rFonts w:ascii="Times New Roman"/>
      <w:sz w:val="21"/>
      <w:szCs w:val="20"/>
    </w:rPr>
  </w:style>
  <w:style w:type="paragraph" w:styleId="1179">
    <w:name w:val="列出段落"/>
    <w:basedOn w:val="1030"/>
    <w:next w:val="1179"/>
    <w:link w:val="1030"/>
    <w:uiPriority w:val="34"/>
    <w:qFormat/>
    <w:pPr>
      <w:ind w:left="720"/>
    </w:pPr>
    <w:rPr>
      <w:rFonts w:ascii="Times New Roman" w:hAnsi="Times New Roman" w:eastAsia="宋体" w:cs="Times New Roman"/>
      <w:szCs w:val="21"/>
    </w:rPr>
  </w:style>
  <w:style w:type="paragraph" w:styleId="1180">
    <w:name w:val="二级目录"/>
    <w:next w:val="1030"/>
    <w:link w:val="1030"/>
    <w:pPr>
      <w:numPr>
        <w:ilvl w:val="0"/>
        <w:numId w:val="5"/>
      </w:numPr>
      <w:tabs>
        <w:tab w:val="left" w:pos="720" w:leader="none"/>
      </w:tabs>
      <w:outlineLvl w:val="1"/>
    </w:pPr>
    <w:rPr>
      <w:b/>
      <w:sz w:val="30"/>
      <w:szCs w:val="28"/>
      <w:lang w:val="en-US" w:eastAsia="zh-CN" w:bidi="ar-SA"/>
    </w:rPr>
  </w:style>
  <w:style w:type="paragraph" w:styleId="1181">
    <w:name w:val="Char1"/>
    <w:basedOn w:val="1030"/>
    <w:next w:val="1181"/>
    <w:link w:val="1030"/>
    <w:rPr>
      <w:rFonts w:ascii="仿宋_GB2312" w:hAnsi="Times New Roman" w:eastAsia="仿宋_GB2312"/>
      <w:b/>
      <w:sz w:val="32"/>
      <w:szCs w:val="32"/>
    </w:rPr>
  </w:style>
  <w:style w:type="paragraph" w:styleId="1182">
    <w:name w:val="普通正文"/>
    <w:basedOn w:val="1030"/>
    <w:next w:val="1182"/>
    <w:link w:val="1030"/>
    <w:pPr>
      <w:ind w:firstLine="480"/>
      <w:jc w:val="left"/>
      <w:spacing w:before="120" w:after="120" w:line="360" w:lineRule="auto"/>
    </w:pPr>
    <w:rPr>
      <w:rFonts w:ascii="Arial" w:hAnsi="Arial" w:eastAsia="宋体" w:cs="Times New Roman"/>
      <w:sz w:val="24"/>
      <w:szCs w:val="24"/>
    </w:rPr>
  </w:style>
  <w:style w:type="paragraph" w:styleId="1183">
    <w:name w:val="Normal Indent"/>
    <w:basedOn w:val="1030"/>
    <w:next w:val="1183"/>
    <w:link w:val="1030"/>
    <w:pPr>
      <w:ind w:firstLine="420"/>
      <w:jc w:val="left"/>
      <w:spacing w:line="360" w:lineRule="auto"/>
      <w:widowControl/>
    </w:pPr>
    <w:rPr>
      <w:rFonts w:ascii="宋体" w:hAnsi="Times New Roman" w:eastAsia="宋体" w:cs="Times New Roman"/>
      <w:sz w:val="20"/>
      <w:szCs w:val="20"/>
    </w:rPr>
  </w:style>
  <w:style w:type="paragraph" w:styleId="1184">
    <w:name w:val="CD 正文"/>
    <w:basedOn w:val="1030"/>
    <w:next w:val="1184"/>
    <w:link w:val="1030"/>
    <w:pPr>
      <w:jc w:val="left"/>
    </w:pPr>
    <w:rPr>
      <w:rFonts w:ascii="Arial" w:hAnsi="Arial" w:eastAsia="微软雅黑" w:cs="Arial"/>
      <w:szCs w:val="21"/>
    </w:rPr>
  </w:style>
  <w:style w:type="paragraph" w:styleId="1185">
    <w:name w:val="p0"/>
    <w:basedOn w:val="1030"/>
    <w:next w:val="1185"/>
    <w:link w:val="1030"/>
    <w:pPr>
      <w:widowControl/>
    </w:pPr>
    <w:rPr>
      <w:rFonts w:ascii="Times New Roman" w:hAnsi="Times New Roman" w:eastAsia="宋体" w:cs="Times New Roman"/>
      <w:szCs w:val="21"/>
    </w:rPr>
  </w:style>
  <w:style w:type="paragraph" w:styleId="1186">
    <w:name w:val="正文 New New New New"/>
    <w:next w:val="1186"/>
    <w:link w:val="1030"/>
    <w:pPr>
      <w:jc w:val="both"/>
      <w:widowControl w:val="off"/>
    </w:pPr>
    <w:rPr>
      <w:szCs w:val="24"/>
      <w:lang w:val="en-US" w:eastAsia="zh-CN" w:bidi="ar-SA"/>
    </w:rPr>
  </w:style>
  <w:style w:type="paragraph" w:styleId="1187">
    <w:name w:val="文档正文"/>
    <w:basedOn w:val="1030"/>
    <w:next w:val="1187"/>
    <w:link w:val="1030"/>
    <w:pPr>
      <w:ind w:firstLine="567"/>
      <w:spacing w:line="480" w:lineRule="atLeast"/>
    </w:pPr>
    <w:rPr>
      <w:rFonts w:ascii="仿宋_GB2312" w:hAnsi="Times New Roman" w:eastAsia="仿宋_GB2312"/>
      <w:sz w:val="28"/>
      <w:szCs w:val="24"/>
    </w:rPr>
  </w:style>
  <w:style w:type="paragraph" w:styleId="1188">
    <w:name w:val="正文缩进1"/>
    <w:basedOn w:val="1030"/>
    <w:next w:val="1188"/>
    <w:link w:val="1030"/>
    <w:unhideWhenUsed/>
    <w:qFormat/>
    <w:pPr>
      <w:ind w:firstLine="420"/>
    </w:pPr>
    <w:rPr>
      <w:rFonts w:ascii="Calibri" w:hAnsi="Calibri" w:eastAsia="宋体" w:cs="Times New Roman"/>
    </w:rPr>
  </w:style>
  <w:style w:type="paragraph" w:styleId="1189">
    <w:name w:val="页眉1"/>
    <w:basedOn w:val="1030"/>
    <w:next w:val="1189"/>
    <w:link w:val="103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90">
    <w:name w:val="正文文本11"/>
    <w:basedOn w:val="1030"/>
    <w:next w:val="1170"/>
    <w:link w:val="1030"/>
    <w:qFormat/>
    <w:rPr>
      <w:rFonts w:ascii="楷体_GB2312" w:hAnsi="Arial" w:eastAsia="楷体_GB2312"/>
      <w:sz w:val="28"/>
      <w:szCs w:val="28"/>
    </w:rPr>
  </w:style>
  <w:style w:type="paragraph" w:styleId="1191">
    <w:name w:val="页脚1"/>
    <w:basedOn w:val="1030"/>
    <w:next w:val="1191"/>
    <w:link w:val="1030"/>
    <w:uiPriority w:val="99"/>
    <w:unhideWhenUsed/>
    <w:qFormat/>
    <w:pPr>
      <w:jc w:val="left"/>
      <w:tabs>
        <w:tab w:val="center" w:pos="4153" w:leader="none"/>
        <w:tab w:val="right" w:pos="8306" w:leader="none"/>
      </w:tabs>
    </w:pPr>
    <w:rPr>
      <w:sz w:val="18"/>
      <w:szCs w:val="18"/>
    </w:rPr>
  </w:style>
  <w:style w:type="paragraph" w:styleId="1192">
    <w:name w:val="正文（缩进）"/>
    <w:basedOn w:val="1030"/>
    <w:next w:val="1030"/>
    <w:link w:val="1030"/>
    <w:qFormat/>
    <w:pPr>
      <w:ind w:firstLine="200"/>
      <w:spacing w:line="360" w:lineRule="auto"/>
    </w:pPr>
    <w:rPr>
      <w:rFonts w:ascii="宋体" w:hAnsi="宋体"/>
    </w:rPr>
  </w:style>
  <w:style w:type="paragraph" w:styleId="1193">
    <w:name w:val="Table Text"/>
    <w:basedOn w:val="1030"/>
    <w:next w:val="1193"/>
    <w:link w:val="1030"/>
    <w:semiHidden/>
    <w:qFormat/>
    <w:rPr>
      <w:rFonts w:ascii="宋体" w:hAnsi="宋体" w:eastAsia="宋体" w:cs="宋体"/>
      <w:sz w:val="21"/>
      <w:szCs w:val="21"/>
      <w:lang w:val="en-US" w:eastAsia="en-US" w:bidi="ar-SA"/>
    </w:rPr>
  </w:style>
  <w:style w:type="table" w:styleId="1194">
    <w:name w:val="Table Normal"/>
    <w:next w:val="1194"/>
    <w:link w:val="1030"/>
    <w:unhideWhenUsed/>
    <w:qFormat/>
    <w:rPr>
      <w:lang w:val="en-US" w:eastAsia="zh-CN" w:bidi="ar-SA"/>
    </w:rPr>
    <w:tblPr/>
  </w:style>
  <w:style w:type="paragraph" w:styleId="1195">
    <w:name w:val="正文2"/>
    <w:next w:val="1195"/>
    <w:link w:val="1030"/>
    <w:qFormat/>
    <w:rPr>
      <w:sz w:val="24"/>
      <w:szCs w:val="24"/>
      <w:lang w:val="en-US" w:eastAsia="zh-CN" w:bidi="ar-SA"/>
    </w:rPr>
  </w:style>
  <w:style w:type="character" w:styleId="1196" w:default="1">
    <w:name w:val="Default Paragraph Font"/>
    <w:uiPriority w:val="1"/>
    <w:semiHidden/>
    <w:unhideWhenUsed/>
  </w:style>
  <w:style w:type="numbering" w:styleId="1197" w:default="1">
    <w:name w:val="No List"/>
    <w:uiPriority w:val="99"/>
    <w:semiHidden/>
    <w:unhideWhenUsed/>
  </w:style>
  <w:style w:type="table" w:styleId="11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杨小新</cp:lastModifiedBy>
  <cp:revision>5</cp:revision>
  <dcterms:created xsi:type="dcterms:W3CDTF">2020-06-28T21:01:00Z</dcterms:created>
  <dcterms:modified xsi:type="dcterms:W3CDTF">2025-10-31T08:01:50Z</dcterms:modified>
</cp:coreProperties>
</file>